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B6" w:rsidRPr="00C57E86" w:rsidRDefault="00D324EA" w:rsidP="005905D2">
      <w:pPr>
        <w:contextualSpacing/>
        <w:rPr>
          <w:b/>
        </w:rPr>
      </w:pPr>
      <w:r w:rsidRPr="00C57E86">
        <w:rPr>
          <w:b/>
        </w:rPr>
        <w:t xml:space="preserve">Österreichische Druckereien </w:t>
      </w:r>
      <w:r w:rsidR="002963A3" w:rsidRPr="00C57E86">
        <w:rPr>
          <w:b/>
        </w:rPr>
        <w:t>sind international Vorreiter</w:t>
      </w:r>
      <w:r w:rsidRPr="00C57E86">
        <w:rPr>
          <w:b/>
        </w:rPr>
        <w:t xml:space="preserve"> bei umwelt</w:t>
      </w:r>
      <w:r>
        <w:rPr>
          <w:b/>
        </w:rPr>
        <w:t>schonenden</w:t>
      </w:r>
      <w:r w:rsidRPr="00C57E86">
        <w:rPr>
          <w:b/>
        </w:rPr>
        <w:t xml:space="preserve"> Druckwerken</w:t>
      </w:r>
    </w:p>
    <w:p w:rsidR="00D324EA" w:rsidRPr="00C57E86" w:rsidRDefault="00D324EA" w:rsidP="005905D2">
      <w:pPr>
        <w:contextualSpacing/>
        <w:rPr>
          <w:b/>
        </w:rPr>
      </w:pPr>
      <w:proofErr w:type="gramStart"/>
      <w:r w:rsidRPr="00C57E86">
        <w:rPr>
          <w:b/>
        </w:rPr>
        <w:t>Utl.:</w:t>
      </w:r>
      <w:proofErr w:type="gramEnd"/>
      <w:r w:rsidRPr="00C57E86">
        <w:rPr>
          <w:b/>
        </w:rPr>
        <w:t xml:space="preserve"> Zahl der Lizenzen sowi</w:t>
      </w:r>
      <w:r>
        <w:rPr>
          <w:b/>
        </w:rPr>
        <w:t>e Nachfrage nach Druckwerken mit Österreichischem Umweltzeichen steigen</w:t>
      </w:r>
      <w:r w:rsidRPr="00C57E86">
        <w:rPr>
          <w:b/>
        </w:rPr>
        <w:t xml:space="preserve"> rasant</w:t>
      </w:r>
    </w:p>
    <w:p w:rsidR="001F442E" w:rsidRDefault="001F442E" w:rsidP="00A62F5A">
      <w:pPr>
        <w:rPr>
          <w:b/>
        </w:rPr>
      </w:pPr>
    </w:p>
    <w:p w:rsidR="008738A6" w:rsidRPr="00C57E86" w:rsidRDefault="001F442E" w:rsidP="00A62F5A">
      <w:r w:rsidRPr="00C57E86">
        <w:t xml:space="preserve">Wien, </w:t>
      </w:r>
      <w:r w:rsidR="006A32D0">
        <w:t>4</w:t>
      </w:r>
      <w:r w:rsidRPr="00C57E86">
        <w:t xml:space="preserve">. </w:t>
      </w:r>
      <w:r w:rsidR="000A16D5" w:rsidRPr="00C57E86">
        <w:t>1</w:t>
      </w:r>
      <w:r w:rsidR="006A32D0">
        <w:t>1</w:t>
      </w:r>
      <w:r w:rsidR="000A16D5" w:rsidRPr="00C57E86">
        <w:t xml:space="preserve">. </w:t>
      </w:r>
      <w:r w:rsidRPr="00C57E86">
        <w:t>201</w:t>
      </w:r>
      <w:r w:rsidR="00016C42" w:rsidRPr="00C57E86">
        <w:t>5</w:t>
      </w:r>
      <w:r w:rsidR="000A16D5" w:rsidRPr="00C57E86">
        <w:t xml:space="preserve"> –</w:t>
      </w:r>
      <w:r w:rsidRPr="00C57E86">
        <w:t xml:space="preserve"> </w:t>
      </w:r>
      <w:r w:rsidR="005E2403" w:rsidRPr="00C57E86">
        <w:t xml:space="preserve">Anlässlich des heurigen 25-Jahr-Jubiläums zieht das Österreichische </w:t>
      </w:r>
      <w:r w:rsidR="00A00917" w:rsidRPr="00C57E86">
        <w:t xml:space="preserve">Umweltzeichen </w:t>
      </w:r>
      <w:r w:rsidR="004B380C" w:rsidRPr="00C57E86">
        <w:t xml:space="preserve">eine </w:t>
      </w:r>
      <w:r w:rsidR="00222223" w:rsidRPr="00C57E86">
        <w:t xml:space="preserve">sehr </w:t>
      </w:r>
      <w:r w:rsidR="004B380C" w:rsidRPr="00C57E86">
        <w:t xml:space="preserve">erfolgreiche </w:t>
      </w:r>
      <w:r w:rsidR="00A00917" w:rsidRPr="00C57E86">
        <w:t>Bilanz</w:t>
      </w:r>
      <w:r w:rsidR="000A16D5" w:rsidRPr="00C57E86">
        <w:t>.</w:t>
      </w:r>
      <w:r w:rsidR="00A00917" w:rsidRPr="00C57E86">
        <w:t xml:space="preserve"> </w:t>
      </w:r>
      <w:bookmarkStart w:id="0" w:name="_GoBack"/>
      <w:r w:rsidR="00605F4A" w:rsidRPr="00C57E86">
        <w:t>Bereits 132 Druckereien</w:t>
      </w:r>
      <w:r w:rsidR="002963A3" w:rsidRPr="00C57E86">
        <w:t xml:space="preserve"> </w:t>
      </w:r>
      <w:r w:rsidR="000A16D5" w:rsidRPr="00C57E86">
        <w:t xml:space="preserve">bieten </w:t>
      </w:r>
      <w:r w:rsidR="002963A3" w:rsidRPr="00C57E86">
        <w:t xml:space="preserve">inzwischen </w:t>
      </w:r>
      <w:r w:rsidR="000A16D5" w:rsidRPr="00C57E86">
        <w:t>Produkte</w:t>
      </w:r>
      <w:r w:rsidR="002963A3" w:rsidRPr="00C57E86">
        <w:t xml:space="preserve"> </w:t>
      </w:r>
      <w:r w:rsidR="000A16D5" w:rsidRPr="00C57E86">
        <w:t>nach der seit 1995 bestehenden Richtlinie UZ 24 „Druckerzeugnisse“ an und belegen</w:t>
      </w:r>
      <w:r w:rsidR="00000A51" w:rsidRPr="00C57E86">
        <w:t xml:space="preserve"> </w:t>
      </w:r>
      <w:r w:rsidR="000A16D5" w:rsidRPr="00C57E86">
        <w:t xml:space="preserve">das </w:t>
      </w:r>
      <w:r w:rsidR="00000A51" w:rsidRPr="00C57E86">
        <w:t>Umdenken in der Druckereibranche</w:t>
      </w:r>
      <w:bookmarkEnd w:id="0"/>
      <w:r w:rsidR="004A3395" w:rsidRPr="00C57E86">
        <w:t xml:space="preserve">. Damit findet man </w:t>
      </w:r>
      <w:r w:rsidR="000A16D5" w:rsidRPr="00C57E86">
        <w:t xml:space="preserve">bereits in knapp </w:t>
      </w:r>
      <w:r w:rsidR="004A3395" w:rsidRPr="00C57E86">
        <w:t xml:space="preserve">einem Viertel der relevanten </w:t>
      </w:r>
      <w:r w:rsidR="000A16D5" w:rsidRPr="00C57E86">
        <w:t xml:space="preserve">Druckereien </w:t>
      </w:r>
      <w:r w:rsidR="004A3395" w:rsidRPr="00C57E86">
        <w:t>eine Umweltzeichen-Urkunde.</w:t>
      </w:r>
    </w:p>
    <w:p w:rsidR="005905D2" w:rsidRDefault="005905D2" w:rsidP="002B25FB">
      <w:pPr>
        <w:rPr>
          <w:rFonts w:cs="Arial"/>
          <w:szCs w:val="22"/>
        </w:rPr>
      </w:pPr>
    </w:p>
    <w:p w:rsidR="003833DF" w:rsidRDefault="004A3395" w:rsidP="00E262AE">
      <w:pPr>
        <w:rPr>
          <w:rFonts w:cs="Arial"/>
          <w:szCs w:val="22"/>
        </w:rPr>
      </w:pPr>
      <w:r>
        <w:rPr>
          <w:rFonts w:cs="Arial"/>
          <w:szCs w:val="22"/>
        </w:rPr>
        <w:t>Im internationalen Vergleich kann sich</w:t>
      </w:r>
      <w:r w:rsidR="00CB3B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</w:t>
      </w:r>
      <w:r w:rsidR="00D3739D" w:rsidRPr="00CA20F6">
        <w:rPr>
          <w:rFonts w:cs="Arial"/>
          <w:szCs w:val="22"/>
        </w:rPr>
        <w:t xml:space="preserve">as </w:t>
      </w:r>
      <w:r w:rsidR="00D3739D">
        <w:rPr>
          <w:rFonts w:cs="Arial"/>
          <w:szCs w:val="22"/>
        </w:rPr>
        <w:t>Österreichische Umweltzeichen für Druckerzeugnisse</w:t>
      </w:r>
      <w:r>
        <w:rPr>
          <w:rFonts w:cs="Arial"/>
          <w:szCs w:val="22"/>
        </w:rPr>
        <w:t xml:space="preserve"> </w:t>
      </w:r>
      <w:r w:rsidR="00CB3B3C">
        <w:rPr>
          <w:rFonts w:cs="Arial"/>
          <w:szCs w:val="22"/>
        </w:rPr>
        <w:t xml:space="preserve">mit diesen Zahlen </w:t>
      </w:r>
      <w:r>
        <w:rPr>
          <w:rFonts w:cs="Arial"/>
          <w:szCs w:val="22"/>
        </w:rPr>
        <w:t>hervorragend mit den Top-Gütesiegeln wie Nordisches Umweltzeichen, EU Umweltzeichen</w:t>
      </w:r>
      <w:r w:rsidR="000D17C4">
        <w:rPr>
          <w:rFonts w:cs="Arial"/>
          <w:szCs w:val="22"/>
        </w:rPr>
        <w:t xml:space="preserve"> </w:t>
      </w:r>
      <w:r w:rsidR="000549E8">
        <w:rPr>
          <w:rFonts w:cs="Arial"/>
          <w:szCs w:val="22"/>
        </w:rPr>
        <w:t xml:space="preserve">und Blauer Engel </w:t>
      </w:r>
      <w:r w:rsidR="003833DF">
        <w:rPr>
          <w:rFonts w:cs="Arial"/>
          <w:szCs w:val="22"/>
        </w:rPr>
        <w:t>messen</w:t>
      </w:r>
      <w:r>
        <w:rPr>
          <w:rFonts w:cs="Arial"/>
          <w:szCs w:val="22"/>
        </w:rPr>
        <w:t xml:space="preserve">. </w:t>
      </w:r>
      <w:r w:rsidR="009A62A5">
        <w:rPr>
          <w:rFonts w:cs="Arial"/>
          <w:szCs w:val="22"/>
        </w:rPr>
        <w:t>Bezogen auf die Gesamtanzahl von Druckerei</w:t>
      </w:r>
      <w:r w:rsidR="000549E8">
        <w:rPr>
          <w:rFonts w:cs="Arial"/>
          <w:szCs w:val="22"/>
        </w:rPr>
        <w:t>en</w:t>
      </w:r>
      <w:r w:rsidR="009A62A5">
        <w:rPr>
          <w:rFonts w:cs="Arial"/>
          <w:szCs w:val="22"/>
        </w:rPr>
        <w:t xml:space="preserve"> ist k</w:t>
      </w:r>
      <w:r>
        <w:rPr>
          <w:rFonts w:cs="Arial"/>
          <w:szCs w:val="22"/>
        </w:rPr>
        <w:t xml:space="preserve">eines dieser </w:t>
      </w:r>
      <w:r w:rsidR="003833DF">
        <w:rPr>
          <w:rFonts w:cs="Arial"/>
          <w:szCs w:val="22"/>
        </w:rPr>
        <w:t xml:space="preserve">Auszeichnungssysteme </w:t>
      </w:r>
      <w:r>
        <w:rPr>
          <w:rFonts w:cs="Arial"/>
          <w:szCs w:val="22"/>
        </w:rPr>
        <w:t>stärker in der Branche verankert als das Österreichische Umweltzeichen.</w:t>
      </w:r>
      <w:r w:rsidR="00050D3F">
        <w:rPr>
          <w:rFonts w:cs="Arial"/>
          <w:szCs w:val="22"/>
        </w:rPr>
        <w:t xml:space="preserve"> </w:t>
      </w:r>
      <w:r w:rsidR="003833DF">
        <w:rPr>
          <w:rFonts w:cs="Arial"/>
          <w:szCs w:val="22"/>
        </w:rPr>
        <w:t>Dies zeigt</w:t>
      </w:r>
      <w:r w:rsidR="00050D3F">
        <w:rPr>
          <w:rFonts w:cs="Arial"/>
          <w:szCs w:val="22"/>
        </w:rPr>
        <w:t>, dass die heimische Druck</w:t>
      </w:r>
      <w:r w:rsidR="00CB3B3C">
        <w:rPr>
          <w:rFonts w:cs="Arial"/>
          <w:szCs w:val="22"/>
        </w:rPr>
        <w:t>erei</w:t>
      </w:r>
      <w:r w:rsidR="00050D3F">
        <w:rPr>
          <w:rFonts w:cs="Arial"/>
          <w:szCs w:val="22"/>
        </w:rPr>
        <w:t>b</w:t>
      </w:r>
      <w:r w:rsidR="00CB3B3C">
        <w:rPr>
          <w:rFonts w:cs="Arial"/>
          <w:szCs w:val="22"/>
        </w:rPr>
        <w:t>r</w:t>
      </w:r>
      <w:r w:rsidR="00050D3F">
        <w:rPr>
          <w:rFonts w:cs="Arial"/>
          <w:szCs w:val="22"/>
        </w:rPr>
        <w:t>anche Nachhaltigkeit</w:t>
      </w:r>
      <w:r w:rsidR="00CB3B3C">
        <w:rPr>
          <w:rFonts w:cs="Arial"/>
          <w:szCs w:val="22"/>
        </w:rPr>
        <w:t xml:space="preserve"> ernst</w:t>
      </w:r>
      <w:r w:rsidR="003833DF">
        <w:rPr>
          <w:rFonts w:cs="Arial"/>
          <w:szCs w:val="22"/>
        </w:rPr>
        <w:t xml:space="preserve"> </w:t>
      </w:r>
      <w:r w:rsidR="00050D3F">
        <w:rPr>
          <w:rFonts w:cs="Arial"/>
          <w:szCs w:val="22"/>
        </w:rPr>
        <w:t>nimmt und Ressourcenschonung kein Fremdwort ist.</w:t>
      </w:r>
      <w:r w:rsidR="008A44CD">
        <w:rPr>
          <w:rFonts w:cs="Arial"/>
          <w:szCs w:val="22"/>
        </w:rPr>
        <w:t xml:space="preserve"> </w:t>
      </w:r>
    </w:p>
    <w:p w:rsidR="003833DF" w:rsidRDefault="003833DF" w:rsidP="00E262AE">
      <w:pPr>
        <w:rPr>
          <w:rFonts w:cs="Arial"/>
          <w:szCs w:val="22"/>
        </w:rPr>
      </w:pPr>
    </w:p>
    <w:p w:rsidR="00D3739D" w:rsidRDefault="002540B1" w:rsidP="00E262AE">
      <w:pPr>
        <w:rPr>
          <w:rFonts w:cs="Arial"/>
          <w:szCs w:val="22"/>
        </w:rPr>
      </w:pPr>
      <w:r w:rsidRPr="006C04A7">
        <w:rPr>
          <w:rFonts w:cs="Arial"/>
          <w:szCs w:val="22"/>
        </w:rPr>
        <w:t xml:space="preserve">Bei </w:t>
      </w:r>
      <w:r w:rsidR="009D65BC">
        <w:rPr>
          <w:rFonts w:cs="Arial"/>
          <w:szCs w:val="22"/>
        </w:rPr>
        <w:t xml:space="preserve">der </w:t>
      </w:r>
      <w:r w:rsidRPr="006C04A7">
        <w:rPr>
          <w:rFonts w:cs="Arial"/>
          <w:szCs w:val="22"/>
        </w:rPr>
        <w:t xml:space="preserve">Druckerei </w:t>
      </w:r>
      <w:proofErr w:type="spellStart"/>
      <w:r w:rsidRPr="006C04A7">
        <w:rPr>
          <w:rFonts w:cs="Arial"/>
          <w:szCs w:val="22"/>
        </w:rPr>
        <w:t>Gugler</w:t>
      </w:r>
      <w:proofErr w:type="spellEnd"/>
      <w:r w:rsidRPr="006C04A7">
        <w:rPr>
          <w:rFonts w:cs="Arial"/>
          <w:szCs w:val="22"/>
        </w:rPr>
        <w:t xml:space="preserve"> haben Analysen ergeben, dass der Energie- und Wasserverbrauch deutlich reduziert wurde. Auch bei den Gesamtemissionen von Treibhausgasen und flüchtigen organischen Verbindungen</w:t>
      </w:r>
      <w:r w:rsidR="000A16D5">
        <w:rPr>
          <w:rFonts w:cs="Arial"/>
          <w:szCs w:val="22"/>
        </w:rPr>
        <w:t xml:space="preserve"> (VOCs)</w:t>
      </w:r>
      <w:r w:rsidRPr="006C04A7">
        <w:rPr>
          <w:rFonts w:cs="Arial"/>
          <w:szCs w:val="22"/>
        </w:rPr>
        <w:t>, die zum Entstehen des gesundheits</w:t>
      </w:r>
      <w:r>
        <w:rPr>
          <w:rFonts w:cs="Arial"/>
          <w:szCs w:val="22"/>
        </w:rPr>
        <w:t>s</w:t>
      </w:r>
      <w:r w:rsidRPr="006C04A7">
        <w:rPr>
          <w:rFonts w:cs="Arial"/>
          <w:szCs w:val="22"/>
        </w:rPr>
        <w:t xml:space="preserve">chädigenden bodennahen Ozons beitragen, wurde ein deutlicher Rückgang </w:t>
      </w:r>
      <w:r w:rsidR="000A16D5">
        <w:rPr>
          <w:rFonts w:cs="Arial"/>
          <w:szCs w:val="22"/>
        </w:rPr>
        <w:t>erreicht</w:t>
      </w:r>
      <w:r w:rsidRPr="006C04A7">
        <w:rPr>
          <w:rFonts w:cs="Arial"/>
          <w:szCs w:val="22"/>
        </w:rPr>
        <w:t>.</w:t>
      </w:r>
      <w:r w:rsidR="00726E8D" w:rsidRPr="00726E8D">
        <w:rPr>
          <w:rStyle w:val="Funotenzeichen"/>
          <w:rFonts w:cs="Arial"/>
          <w:szCs w:val="22"/>
        </w:rPr>
        <w:t xml:space="preserve"> </w:t>
      </w:r>
      <w:r w:rsidR="00726E8D">
        <w:rPr>
          <w:rStyle w:val="Funotenzeichen"/>
          <w:rFonts w:cs="Arial"/>
          <w:szCs w:val="22"/>
        </w:rPr>
        <w:footnoteReference w:id="1"/>
      </w:r>
      <w:r w:rsidRPr="006C04A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Ä</w:t>
      </w:r>
      <w:r w:rsidR="008A44CD">
        <w:rPr>
          <w:rFonts w:cs="Arial"/>
          <w:szCs w:val="22"/>
        </w:rPr>
        <w:t xml:space="preserve">hnlich positiv ist auch das Ergebnis bei der Druckerei </w:t>
      </w:r>
      <w:proofErr w:type="spellStart"/>
      <w:r w:rsidR="008A44CD">
        <w:rPr>
          <w:rFonts w:cs="Arial"/>
          <w:szCs w:val="22"/>
        </w:rPr>
        <w:t>Janetschek</w:t>
      </w:r>
      <w:proofErr w:type="spellEnd"/>
      <w:r w:rsidR="008A44CD">
        <w:rPr>
          <w:rFonts w:cs="Arial"/>
          <w:szCs w:val="22"/>
        </w:rPr>
        <w:t>: Reduktion des Stromverbrauchs pro Tonne Papier um 10</w:t>
      </w:r>
      <w:r w:rsidR="00C4150A">
        <w:rPr>
          <w:rFonts w:cs="Arial"/>
          <w:szCs w:val="22"/>
        </w:rPr>
        <w:t> </w:t>
      </w:r>
      <w:r w:rsidR="008A44CD">
        <w:rPr>
          <w:rFonts w:cs="Arial"/>
          <w:szCs w:val="22"/>
        </w:rPr>
        <w:t>%, Halbierung des Inputs von VOC</w:t>
      </w:r>
      <w:r w:rsidR="000A16D5">
        <w:rPr>
          <w:rFonts w:cs="Arial"/>
          <w:szCs w:val="22"/>
        </w:rPr>
        <w:t>s</w:t>
      </w:r>
      <w:r w:rsidR="008A44CD">
        <w:rPr>
          <w:rFonts w:cs="Arial"/>
          <w:szCs w:val="22"/>
        </w:rPr>
        <w:t>-emittie</w:t>
      </w:r>
      <w:r w:rsidR="00000A51">
        <w:rPr>
          <w:rFonts w:cs="Arial"/>
          <w:szCs w:val="22"/>
        </w:rPr>
        <w:softHyphen/>
      </w:r>
      <w:r w:rsidR="008A44CD">
        <w:rPr>
          <w:rFonts w:cs="Arial"/>
          <w:szCs w:val="22"/>
        </w:rPr>
        <w:t xml:space="preserve">renden Stoffen, Steigerung der </w:t>
      </w:r>
      <w:proofErr w:type="spellStart"/>
      <w:r w:rsidR="008A44CD">
        <w:rPr>
          <w:rFonts w:cs="Arial"/>
          <w:szCs w:val="22"/>
        </w:rPr>
        <w:t>Recycling</w:t>
      </w:r>
      <w:r w:rsidR="00CB3B3C">
        <w:rPr>
          <w:rFonts w:cs="Arial"/>
          <w:szCs w:val="22"/>
        </w:rPr>
        <w:softHyphen/>
      </w:r>
      <w:r w:rsidR="008A44CD">
        <w:rPr>
          <w:rFonts w:cs="Arial"/>
          <w:szCs w:val="22"/>
        </w:rPr>
        <w:t>papierquote</w:t>
      </w:r>
      <w:proofErr w:type="spellEnd"/>
      <w:r w:rsidR="008A44CD">
        <w:rPr>
          <w:rFonts w:cs="Arial"/>
          <w:szCs w:val="22"/>
        </w:rPr>
        <w:t xml:space="preserve"> sowie Verringerung des Wasserverbrauchs um mehr als ein Drittel. Diese positiven Zahlen lassen sich dabei no</w:t>
      </w:r>
      <w:r w:rsidR="005F7263">
        <w:rPr>
          <w:rFonts w:cs="Arial"/>
          <w:szCs w:val="22"/>
        </w:rPr>
        <w:t>ch beliebig fortführen</w:t>
      </w:r>
      <w:r w:rsidR="008A44CD">
        <w:rPr>
          <w:rFonts w:cs="Arial"/>
          <w:szCs w:val="22"/>
        </w:rPr>
        <w:t>.</w:t>
      </w:r>
      <w:r w:rsidR="00726E8D">
        <w:rPr>
          <w:rStyle w:val="Funotenzeichen"/>
          <w:rFonts w:cs="Arial"/>
          <w:szCs w:val="22"/>
        </w:rPr>
        <w:footnoteReference w:id="2"/>
      </w:r>
      <w:r w:rsidR="002E433B">
        <w:rPr>
          <w:rFonts w:cs="Arial"/>
          <w:szCs w:val="22"/>
        </w:rPr>
        <w:t xml:space="preserve"> “Mit der konsequent</w:t>
      </w:r>
      <w:r w:rsidR="000A16D5">
        <w:rPr>
          <w:rFonts w:cs="Arial"/>
          <w:szCs w:val="22"/>
        </w:rPr>
        <w:t xml:space="preserve">en </w:t>
      </w:r>
      <w:r w:rsidR="002E433B">
        <w:rPr>
          <w:rFonts w:cs="Arial"/>
          <w:szCs w:val="22"/>
        </w:rPr>
        <w:t xml:space="preserve">ökologischen Ausrichtung und dem Ziel wirtschaftlich erfolgreich zu sein, übernehmen wir soziale Verantwortung und arbeiten gemeinsam an einer lebenswerten Zukunft“, bestätigt  Ing. Christian </w:t>
      </w:r>
      <w:proofErr w:type="spellStart"/>
      <w:r w:rsidR="002E433B">
        <w:rPr>
          <w:rFonts w:cs="Arial"/>
          <w:szCs w:val="22"/>
        </w:rPr>
        <w:t>Janetschek</w:t>
      </w:r>
      <w:proofErr w:type="spellEnd"/>
      <w:r w:rsidR="002E433B">
        <w:rPr>
          <w:rFonts w:cs="Arial"/>
          <w:szCs w:val="22"/>
        </w:rPr>
        <w:t xml:space="preserve"> </w:t>
      </w:r>
      <w:r w:rsidR="006E7BE7">
        <w:rPr>
          <w:rFonts w:cs="Arial"/>
          <w:szCs w:val="22"/>
        </w:rPr>
        <w:t>die ökologische Handlungsweise seiner Druckerei.</w:t>
      </w:r>
    </w:p>
    <w:p w:rsidR="004A3395" w:rsidRPr="00CA20F6" w:rsidRDefault="004A3395" w:rsidP="00E262AE">
      <w:pPr>
        <w:rPr>
          <w:rFonts w:cs="Arial"/>
          <w:szCs w:val="22"/>
        </w:rPr>
      </w:pPr>
    </w:p>
    <w:p w:rsidR="00181B33" w:rsidRDefault="005F7263" w:rsidP="00181B33">
      <w:pPr>
        <w:rPr>
          <w:rFonts w:cs="Arial"/>
          <w:szCs w:val="22"/>
        </w:rPr>
      </w:pPr>
      <w:r>
        <w:rPr>
          <w:rFonts w:cs="Arial"/>
          <w:szCs w:val="22"/>
        </w:rPr>
        <w:t xml:space="preserve">Worauf ist diese erfreuliche Entwicklung zurückzuführen? Ein Schlüsselkriterium ist die Nachfrage durch umweltbewusste </w:t>
      </w:r>
      <w:r w:rsidR="000A16D5">
        <w:rPr>
          <w:rFonts w:cs="Arial"/>
          <w:szCs w:val="22"/>
        </w:rPr>
        <w:t>Kunden</w:t>
      </w:r>
      <w:r>
        <w:rPr>
          <w:rFonts w:cs="Arial"/>
          <w:szCs w:val="22"/>
        </w:rPr>
        <w:t xml:space="preserve">. Offensichtlich zeigt hier das Verlangen strenger </w:t>
      </w:r>
      <w:proofErr w:type="spellStart"/>
      <w:r w:rsidR="001E63C8" w:rsidRPr="00A007D4">
        <w:rPr>
          <w:rFonts w:cs="Arial"/>
          <w:szCs w:val="22"/>
        </w:rPr>
        <w:t>Umwelt</w:t>
      </w:r>
      <w:r>
        <w:rPr>
          <w:rFonts w:cs="Arial"/>
          <w:szCs w:val="22"/>
        </w:rPr>
        <w:softHyphen/>
      </w:r>
      <w:r w:rsidR="001E63C8" w:rsidRPr="00A007D4">
        <w:rPr>
          <w:rFonts w:cs="Arial"/>
          <w:szCs w:val="22"/>
        </w:rPr>
        <w:t>kriterien</w:t>
      </w:r>
      <w:proofErr w:type="spellEnd"/>
      <w:r w:rsidR="001E63C8" w:rsidRPr="00A007D4">
        <w:rPr>
          <w:rFonts w:cs="Arial"/>
          <w:szCs w:val="22"/>
        </w:rPr>
        <w:t xml:space="preserve"> bei Ausschreibungen </w:t>
      </w:r>
      <w:r w:rsidR="001E63C8">
        <w:rPr>
          <w:rFonts w:cs="Arial"/>
          <w:szCs w:val="22"/>
        </w:rPr>
        <w:t xml:space="preserve">im öffentlichen </w:t>
      </w:r>
      <w:proofErr w:type="spellStart"/>
      <w:r w:rsidR="001E63C8">
        <w:rPr>
          <w:rFonts w:cs="Arial"/>
          <w:szCs w:val="22"/>
        </w:rPr>
        <w:t>Beschaffungs</w:t>
      </w:r>
      <w:r w:rsidR="001E63C8">
        <w:rPr>
          <w:rFonts w:cs="Arial"/>
          <w:szCs w:val="22"/>
        </w:rPr>
        <w:softHyphen/>
        <w:t>bereich</w:t>
      </w:r>
      <w:proofErr w:type="spellEnd"/>
      <w:r w:rsidR="001E63C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eine </w:t>
      </w:r>
      <w:r w:rsidR="001E63C8">
        <w:rPr>
          <w:rFonts w:cs="Arial"/>
          <w:szCs w:val="22"/>
        </w:rPr>
        <w:t>deutlich</w:t>
      </w:r>
      <w:r>
        <w:rPr>
          <w:rFonts w:cs="Arial"/>
          <w:szCs w:val="22"/>
        </w:rPr>
        <w:t>e</w:t>
      </w:r>
      <w:r w:rsidR="001E63C8" w:rsidRPr="00A007D4">
        <w:rPr>
          <w:rFonts w:cs="Arial"/>
          <w:szCs w:val="22"/>
        </w:rPr>
        <w:t xml:space="preserve"> Wirkung. Aber auch </w:t>
      </w:r>
      <w:r>
        <w:rPr>
          <w:rFonts w:cs="Arial"/>
          <w:szCs w:val="22"/>
        </w:rPr>
        <w:t xml:space="preserve">viele </w:t>
      </w:r>
      <w:r w:rsidR="001E63C8" w:rsidRPr="00A007D4">
        <w:rPr>
          <w:rFonts w:cs="Arial"/>
          <w:szCs w:val="22"/>
        </w:rPr>
        <w:t xml:space="preserve">Unternehmen, die </w:t>
      </w:r>
      <w:r w:rsidR="000A16D5">
        <w:rPr>
          <w:rFonts w:cs="Arial"/>
          <w:szCs w:val="22"/>
        </w:rPr>
        <w:t>auf Umweltmanagementsysteme</w:t>
      </w:r>
      <w:r w:rsidR="006A32D0">
        <w:rPr>
          <w:rFonts w:cs="Arial"/>
          <w:szCs w:val="22"/>
        </w:rPr>
        <w:t xml:space="preserve"> </w:t>
      </w:r>
      <w:r w:rsidR="000A16D5">
        <w:rPr>
          <w:rFonts w:cs="Arial"/>
          <w:szCs w:val="22"/>
        </w:rPr>
        <w:t xml:space="preserve">setzen und </w:t>
      </w:r>
      <w:r w:rsidR="001E63C8">
        <w:rPr>
          <w:rFonts w:cs="Arial"/>
          <w:szCs w:val="22"/>
        </w:rPr>
        <w:t>i</w:t>
      </w:r>
      <w:r w:rsidR="001E63C8" w:rsidRPr="00A007D4">
        <w:rPr>
          <w:rFonts w:cs="Arial"/>
          <w:szCs w:val="22"/>
        </w:rPr>
        <w:t>hrer Umwelt- und Sozialverantwortung mit</w:t>
      </w:r>
      <w:r w:rsidR="000A16D5">
        <w:rPr>
          <w:rFonts w:cs="Arial"/>
          <w:szCs w:val="22"/>
        </w:rPr>
        <w:t>tels</w:t>
      </w:r>
      <w:r w:rsidR="001E63C8" w:rsidRPr="00A007D4">
        <w:rPr>
          <w:rFonts w:cs="Arial"/>
          <w:szCs w:val="22"/>
        </w:rPr>
        <w:t xml:space="preserve"> Druckwerke</w:t>
      </w:r>
      <w:r w:rsidR="000A16D5">
        <w:rPr>
          <w:rFonts w:cs="Arial"/>
          <w:szCs w:val="22"/>
        </w:rPr>
        <w:t xml:space="preserve"> – </w:t>
      </w:r>
      <w:r w:rsidR="001E63C8" w:rsidRPr="00A007D4">
        <w:rPr>
          <w:rFonts w:cs="Arial"/>
          <w:szCs w:val="22"/>
        </w:rPr>
        <w:t xml:space="preserve">wie </w:t>
      </w:r>
      <w:r w:rsidR="000A16D5">
        <w:rPr>
          <w:rFonts w:cs="Arial"/>
          <w:szCs w:val="22"/>
        </w:rPr>
        <w:t>beispielsweise</w:t>
      </w:r>
      <w:r w:rsidR="001E63C8" w:rsidRPr="00A007D4">
        <w:rPr>
          <w:rFonts w:cs="Arial"/>
          <w:szCs w:val="22"/>
        </w:rPr>
        <w:t xml:space="preserve"> Nachhaltigkeitsberichte</w:t>
      </w:r>
      <w:r>
        <w:rPr>
          <w:rFonts w:cs="Arial"/>
          <w:szCs w:val="22"/>
        </w:rPr>
        <w:t xml:space="preserve"> </w:t>
      </w:r>
      <w:r w:rsidR="000A16D5">
        <w:rPr>
          <w:rFonts w:cs="Arial"/>
          <w:szCs w:val="22"/>
        </w:rPr>
        <w:t xml:space="preserve">– </w:t>
      </w:r>
      <w:r w:rsidR="001E63C8" w:rsidRPr="00A007D4">
        <w:rPr>
          <w:rFonts w:cs="Arial"/>
          <w:szCs w:val="22"/>
        </w:rPr>
        <w:t>Ausdruck verleihen wollen</w:t>
      </w:r>
      <w:r w:rsidR="001E63C8">
        <w:rPr>
          <w:rFonts w:cs="Arial"/>
          <w:szCs w:val="22"/>
        </w:rPr>
        <w:t>,</w:t>
      </w:r>
      <w:r w:rsidR="001E63C8" w:rsidRPr="00A007D4">
        <w:rPr>
          <w:rFonts w:cs="Arial"/>
          <w:szCs w:val="22"/>
        </w:rPr>
        <w:t xml:space="preserve"> verstärken die Nachfrage.</w:t>
      </w:r>
      <w:r w:rsidR="00181B33">
        <w:rPr>
          <w:rFonts w:cs="Arial"/>
          <w:szCs w:val="22"/>
        </w:rPr>
        <w:t xml:space="preserve"> Innerhalb von drei Jahren</w:t>
      </w:r>
      <w:r w:rsidR="000A16D5">
        <w:rPr>
          <w:rFonts w:cs="Arial"/>
          <w:szCs w:val="22"/>
        </w:rPr>
        <w:t>,</w:t>
      </w:r>
      <w:r w:rsidR="00181B33">
        <w:rPr>
          <w:rFonts w:cs="Arial"/>
          <w:szCs w:val="22"/>
        </w:rPr>
        <w:t xml:space="preserve"> von 2012 bis 2014</w:t>
      </w:r>
      <w:r w:rsidR="000A16D5">
        <w:rPr>
          <w:rFonts w:cs="Arial"/>
          <w:szCs w:val="22"/>
        </w:rPr>
        <w:t>,</w:t>
      </w:r>
      <w:r w:rsidR="00181B33">
        <w:rPr>
          <w:rFonts w:cs="Arial"/>
          <w:szCs w:val="22"/>
        </w:rPr>
        <w:t xml:space="preserve"> wurden Umweltzeichen-Druckaufträge im Wert von über 30 Millionen Euro in Auftrag gegeben</w:t>
      </w:r>
      <w:r w:rsidR="006A32D0">
        <w:rPr>
          <w:rStyle w:val="Funotenzeichen"/>
          <w:rFonts w:cs="Arial"/>
          <w:szCs w:val="22"/>
        </w:rPr>
        <w:footnoteReference w:id="3"/>
      </w:r>
      <w:r w:rsidR="00181B33">
        <w:rPr>
          <w:rFonts w:cs="Arial"/>
          <w:szCs w:val="22"/>
        </w:rPr>
        <w:t>.</w:t>
      </w:r>
    </w:p>
    <w:p w:rsidR="008738A6" w:rsidRDefault="008738A6" w:rsidP="00E262AE">
      <w:pPr>
        <w:rPr>
          <w:rFonts w:ascii="Cambria" w:hAnsi="Cambria"/>
          <w:szCs w:val="22"/>
        </w:rPr>
      </w:pPr>
    </w:p>
    <w:p w:rsidR="009A62A5" w:rsidRDefault="009A62A5" w:rsidP="00572E08">
      <w:pPr>
        <w:rPr>
          <w:rFonts w:cs="Arial"/>
          <w:b/>
          <w:szCs w:val="22"/>
        </w:rPr>
        <w:sectPr w:rsidR="009A62A5" w:rsidSect="00A2678A">
          <w:headerReference w:type="default" r:id="rId9"/>
          <w:footerReference w:type="default" r:id="rId10"/>
          <w:pgSz w:w="11900" w:h="16840"/>
          <w:pgMar w:top="1134" w:right="1418" w:bottom="1134" w:left="1134" w:header="709" w:footer="709" w:gutter="0"/>
          <w:cols w:space="708"/>
        </w:sectPr>
      </w:pPr>
    </w:p>
    <w:p w:rsidR="000A16D5" w:rsidRPr="006E3EEB" w:rsidRDefault="000A16D5" w:rsidP="000A16D5">
      <w:pPr>
        <w:rPr>
          <w:rFonts w:cs="Arial"/>
          <w:b/>
          <w:szCs w:val="22"/>
        </w:rPr>
      </w:pPr>
      <w:r w:rsidRPr="006E3EEB">
        <w:rPr>
          <w:rFonts w:cs="Arial"/>
          <w:b/>
          <w:szCs w:val="22"/>
        </w:rPr>
        <w:lastRenderedPageBreak/>
        <w:t xml:space="preserve">25 Jahre </w:t>
      </w:r>
      <w:r>
        <w:rPr>
          <w:rFonts w:cs="Arial"/>
          <w:b/>
          <w:szCs w:val="22"/>
        </w:rPr>
        <w:t xml:space="preserve">Österreichisches </w:t>
      </w:r>
      <w:r w:rsidRPr="006E3EEB">
        <w:rPr>
          <w:rFonts w:cs="Arial"/>
          <w:b/>
          <w:szCs w:val="22"/>
        </w:rPr>
        <w:t>Umweltzeichen</w:t>
      </w:r>
      <w:r>
        <w:rPr>
          <w:rFonts w:cs="Arial"/>
          <w:b/>
          <w:szCs w:val="22"/>
        </w:rPr>
        <w:t xml:space="preserve"> – ein Pionier der Nachhaltigkeit</w:t>
      </w:r>
    </w:p>
    <w:p w:rsidR="000A16D5" w:rsidRDefault="000A16D5" w:rsidP="000A16D5">
      <w:pPr>
        <w:rPr>
          <w:rFonts w:cs="Arial"/>
          <w:szCs w:val="22"/>
        </w:rPr>
      </w:pPr>
      <w:r>
        <w:rPr>
          <w:rFonts w:cs="Arial"/>
          <w:szCs w:val="22"/>
        </w:rPr>
        <w:t xml:space="preserve">2015 ist ein besonderes </w:t>
      </w:r>
      <w:proofErr w:type="spellStart"/>
      <w:r>
        <w:rPr>
          <w:rFonts w:cs="Arial"/>
          <w:szCs w:val="22"/>
        </w:rPr>
        <w:t>Jubiläums</w:t>
      </w:r>
      <w:r>
        <w:rPr>
          <w:rFonts w:cs="Arial"/>
          <w:szCs w:val="22"/>
        </w:rPr>
        <w:softHyphen/>
        <w:t>jahr</w:t>
      </w:r>
      <w:proofErr w:type="spellEnd"/>
      <w:r>
        <w:rPr>
          <w:rFonts w:cs="Arial"/>
          <w:szCs w:val="22"/>
        </w:rPr>
        <w:t xml:space="preserve">, denn vor genau 25 Jahren wurde das Österreichische Umweltzeichen ins Leben gerufen. Was damals als vielversprechende Idee begann, ist heute eine </w:t>
      </w:r>
      <w:proofErr w:type="spellStart"/>
      <w:r>
        <w:rPr>
          <w:rFonts w:cs="Arial"/>
          <w:szCs w:val="22"/>
        </w:rPr>
        <w:t>Erfolgs</w:t>
      </w:r>
      <w:r>
        <w:rPr>
          <w:rFonts w:cs="Arial"/>
          <w:szCs w:val="22"/>
        </w:rPr>
        <w:softHyphen/>
        <w:t>geschichte</w:t>
      </w:r>
      <w:proofErr w:type="spellEnd"/>
      <w:r>
        <w:rPr>
          <w:rFonts w:cs="Arial"/>
          <w:szCs w:val="22"/>
        </w:rPr>
        <w:t xml:space="preserve">. </w:t>
      </w:r>
      <w:r w:rsidRPr="00816EA5">
        <w:rPr>
          <w:lang w:val="de-AT"/>
        </w:rPr>
        <w:t xml:space="preserve">Österreich hat sich mit diesem Gütezeichen international ein hohes Image und eine breite Anerkennung geschaffen. </w:t>
      </w:r>
      <w:r>
        <w:rPr>
          <w:lang w:val="de-AT"/>
        </w:rPr>
        <w:t>Es bietet für Österreich</w:t>
      </w:r>
      <w:r w:rsidRPr="00816EA5">
        <w:rPr>
          <w:lang w:val="de-AT"/>
        </w:rPr>
        <w:t xml:space="preserve"> ein starkes Fundament für eine moderne und umweltgerechte Wirtschaft</w:t>
      </w:r>
      <w:r>
        <w:rPr>
          <w:lang w:val="de-AT"/>
        </w:rPr>
        <w:t>.</w:t>
      </w:r>
    </w:p>
    <w:p w:rsidR="000A16D5" w:rsidRDefault="000A16D5" w:rsidP="000A16D5">
      <w:pPr>
        <w:rPr>
          <w:rFonts w:cs="Arial"/>
          <w:szCs w:val="22"/>
        </w:rPr>
      </w:pPr>
      <w:r>
        <w:rPr>
          <w:rFonts w:cs="Arial"/>
          <w:szCs w:val="22"/>
        </w:rPr>
        <w:t>Aktuell erfüllen</w:t>
      </w:r>
      <w:r w:rsidRPr="00466DB2">
        <w:rPr>
          <w:rFonts w:cs="Arial"/>
          <w:szCs w:val="22"/>
        </w:rPr>
        <w:t xml:space="preserve"> 3.400 Produkte</w:t>
      </w:r>
      <w:r>
        <w:rPr>
          <w:rFonts w:cs="Arial"/>
          <w:szCs w:val="22"/>
        </w:rPr>
        <w:t xml:space="preserve"> und Dienstleistungen von über 380 Unternehmen die strengen Kriterien des Österreichischen Umweltzeichens. Sie leisten damit einen wichtigen Beitrag zum Umweltschutz, schonen Ressourcen und sparen Kosten. </w:t>
      </w:r>
      <w:r w:rsidRPr="00816EA5">
        <w:rPr>
          <w:lang w:val="de-AT"/>
        </w:rPr>
        <w:t>Sie sind gut aufgestellt und erwirtschaften einen Jahresumsatz von etwa 818 Millionen Euro.</w:t>
      </w:r>
      <w:r>
        <w:rPr>
          <w:rFonts w:cs="Arial"/>
          <w:szCs w:val="22"/>
        </w:rPr>
        <w:t xml:space="preserve"> Aktuelles zum Jubiläumsjahr ist auf </w:t>
      </w:r>
      <w:hyperlink r:id="rId11" w:history="1">
        <w:r w:rsidRPr="004A33CE">
          <w:rPr>
            <w:rStyle w:val="Hyperlink"/>
            <w:rFonts w:cs="Arial"/>
            <w:szCs w:val="22"/>
          </w:rPr>
          <w:t>www.umweltzeichen.at</w:t>
        </w:r>
      </w:hyperlink>
      <w:r>
        <w:rPr>
          <w:rFonts w:cs="Arial"/>
          <w:szCs w:val="22"/>
        </w:rPr>
        <w:t xml:space="preserve"> vorzufinden.</w:t>
      </w:r>
    </w:p>
    <w:p w:rsidR="000A16D5" w:rsidRDefault="000A16D5" w:rsidP="000A16D5">
      <w:pPr>
        <w:rPr>
          <w:rFonts w:cs="Arial"/>
          <w:szCs w:val="22"/>
        </w:rPr>
      </w:pPr>
    </w:p>
    <w:p w:rsidR="000A16D5" w:rsidRPr="008305C3" w:rsidRDefault="000A16D5" w:rsidP="000A16D5">
      <w:pPr>
        <w:rPr>
          <w:rFonts w:cs="Arial"/>
          <w:b/>
          <w:szCs w:val="22"/>
        </w:rPr>
      </w:pPr>
      <w:r w:rsidRPr="008305C3">
        <w:rPr>
          <w:rFonts w:cs="Arial"/>
          <w:b/>
          <w:szCs w:val="22"/>
        </w:rPr>
        <w:t>Branchenvielfalt bei den Umweltzeichen-Produkten steigt weiter</w:t>
      </w:r>
    </w:p>
    <w:p w:rsidR="000A16D5" w:rsidRDefault="000A16D5" w:rsidP="000A16D5">
      <w:pPr>
        <w:spacing w:line="240" w:lineRule="atLeast"/>
        <w:contextualSpacing/>
        <w:rPr>
          <w:rFonts w:cs="Arial"/>
          <w:szCs w:val="22"/>
        </w:rPr>
      </w:pPr>
      <w:r>
        <w:rPr>
          <w:rFonts w:cs="Arial"/>
          <w:szCs w:val="22"/>
        </w:rPr>
        <w:t>Die Zahl der Lizenznehmer</w:t>
      </w:r>
      <w:r w:rsidRPr="00466D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sowie der zertifizierten Produkte und Dienstleistungen steigt jährlich um 10</w:t>
      </w:r>
      <w:r w:rsidRPr="00466DB2">
        <w:rPr>
          <w:rFonts w:cs="Arial"/>
          <w:szCs w:val="22"/>
        </w:rPr>
        <w:t xml:space="preserve">%. </w:t>
      </w:r>
      <w:r w:rsidRPr="00816EA5">
        <w:rPr>
          <w:lang w:val="de-AT"/>
        </w:rPr>
        <w:t>Das Umweltzeichen deckt derzeit mit 61 Richtlinien eine Vielzahl von ökologisch besonders relevanten Bereichen ab:</w:t>
      </w:r>
      <w:r w:rsidRPr="00466D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von den klassischen Produktbereichen wie </w:t>
      </w:r>
      <w:r w:rsidRPr="00466DB2">
        <w:rPr>
          <w:rFonts w:cs="Arial"/>
          <w:szCs w:val="22"/>
        </w:rPr>
        <w:t>Bauen und Wohnen, Haushalt und Reinigung, Garten, Grüne Energie, Grüne Fonds, Papier- und Büromaterialien</w:t>
      </w:r>
      <w:r>
        <w:rPr>
          <w:rFonts w:cs="Arial"/>
          <w:szCs w:val="22"/>
        </w:rPr>
        <w:t xml:space="preserve">, </w:t>
      </w:r>
      <w:r w:rsidRPr="00466DB2">
        <w:rPr>
          <w:rFonts w:cs="Arial"/>
          <w:szCs w:val="22"/>
        </w:rPr>
        <w:t>Mobilität</w:t>
      </w:r>
      <w:r>
        <w:rPr>
          <w:rFonts w:cs="Arial"/>
          <w:szCs w:val="22"/>
        </w:rPr>
        <w:t xml:space="preserve"> über den Tourismus bis zu Meetings und Events</w:t>
      </w:r>
      <w:r w:rsidRPr="00466DB2">
        <w:rPr>
          <w:rFonts w:cs="Arial"/>
          <w:szCs w:val="22"/>
        </w:rPr>
        <w:t xml:space="preserve">. </w:t>
      </w:r>
    </w:p>
    <w:p w:rsidR="000A16D5" w:rsidRDefault="000A16D5" w:rsidP="000A16D5">
      <w:pPr>
        <w:spacing w:line="240" w:lineRule="atLeast"/>
        <w:contextualSpacing/>
        <w:rPr>
          <w:lang w:val="de-AT"/>
        </w:rPr>
      </w:pPr>
      <w:r w:rsidRPr="00466DB2">
        <w:rPr>
          <w:rFonts w:cs="Arial"/>
          <w:szCs w:val="22"/>
        </w:rPr>
        <w:t xml:space="preserve">In vielen umweltrelevanten Branchen hat das Österreichische Umweltzeichen deutlich „grüne“-Spuren hinterlassen. </w:t>
      </w:r>
      <w:proofErr w:type="spellStart"/>
      <w:r w:rsidRPr="00466DB2">
        <w:rPr>
          <w:rFonts w:cs="Arial"/>
          <w:szCs w:val="22"/>
        </w:rPr>
        <w:t>Insbesonders</w:t>
      </w:r>
      <w:proofErr w:type="spellEnd"/>
      <w:r w:rsidRPr="00466DB2">
        <w:rPr>
          <w:rFonts w:cs="Arial"/>
          <w:szCs w:val="22"/>
        </w:rPr>
        <w:t xml:space="preserve"> bei Holzheizungen und biogenen Brennstoffen sowie bei der Grünen Energie ist das Umweltzeichen branchenführend. Auch bei den Druckerzeugnissen nimmt es eine deutliche </w:t>
      </w:r>
      <w:proofErr w:type="spellStart"/>
      <w:r w:rsidRPr="00466DB2">
        <w:rPr>
          <w:rFonts w:cs="Arial"/>
          <w:szCs w:val="22"/>
        </w:rPr>
        <w:t>Wegweiserrolle</w:t>
      </w:r>
      <w:proofErr w:type="spellEnd"/>
      <w:r w:rsidRPr="00466DB2">
        <w:rPr>
          <w:rFonts w:cs="Arial"/>
          <w:szCs w:val="22"/>
        </w:rPr>
        <w:t xml:space="preserve"> ein.</w:t>
      </w:r>
      <w:r>
        <w:rPr>
          <w:rFonts w:cs="Arial"/>
          <w:szCs w:val="22"/>
        </w:rPr>
        <w:t xml:space="preserve"> </w:t>
      </w:r>
      <w:r w:rsidRPr="00816EA5">
        <w:rPr>
          <w:rFonts w:cs="Arial"/>
          <w:szCs w:val="22"/>
          <w:lang w:val="de-AT"/>
        </w:rPr>
        <w:t xml:space="preserve">Die Richtlinien werden laufend erweitert und überarbeitet. Kürzlich </w:t>
      </w:r>
      <w:r>
        <w:rPr>
          <w:rFonts w:cs="Arial"/>
          <w:szCs w:val="22"/>
          <w:lang w:val="de-AT"/>
        </w:rPr>
        <w:t>trat</w:t>
      </w:r>
      <w:r w:rsidRPr="00816EA5">
        <w:rPr>
          <w:rFonts w:cs="Arial"/>
          <w:szCs w:val="22"/>
          <w:lang w:val="de-AT"/>
        </w:rPr>
        <w:t xml:space="preserve"> </w:t>
      </w:r>
      <w:r>
        <w:rPr>
          <w:rFonts w:cs="Arial"/>
          <w:szCs w:val="22"/>
          <w:lang w:val="de-AT"/>
        </w:rPr>
        <w:t xml:space="preserve">die </w:t>
      </w:r>
      <w:r w:rsidRPr="00816EA5">
        <w:rPr>
          <w:rFonts w:cs="Arial"/>
          <w:szCs w:val="22"/>
          <w:lang w:val="de-AT"/>
        </w:rPr>
        <w:t>n</w:t>
      </w:r>
      <w:r w:rsidRPr="00816EA5">
        <w:rPr>
          <w:lang w:val="de-AT"/>
        </w:rPr>
        <w:t xml:space="preserve">eue Richtlinie für „Emissionsarme Transportsysteme“ </w:t>
      </w:r>
      <w:r>
        <w:rPr>
          <w:lang w:val="de-AT"/>
        </w:rPr>
        <w:t>in Kraft</w:t>
      </w:r>
      <w:r w:rsidRPr="00816EA5">
        <w:rPr>
          <w:lang w:val="de-AT"/>
        </w:rPr>
        <w:t>.</w:t>
      </w:r>
    </w:p>
    <w:p w:rsidR="000A16D5" w:rsidRDefault="000A16D5" w:rsidP="000A16D5">
      <w:pPr>
        <w:spacing w:line="240" w:lineRule="atLeast"/>
        <w:contextualSpacing/>
        <w:rPr>
          <w:lang w:val="de-AT"/>
        </w:rPr>
      </w:pPr>
    </w:p>
    <w:p w:rsidR="000A16D5" w:rsidRPr="00AF3AB6" w:rsidRDefault="000A16D5" w:rsidP="000A16D5">
      <w:pPr>
        <w:spacing w:line="240" w:lineRule="atLeast"/>
        <w:contextualSpacing/>
        <w:rPr>
          <w:rFonts w:cs="Arial"/>
          <w:b/>
          <w:szCs w:val="22"/>
          <w:lang w:val="de-AT"/>
        </w:rPr>
      </w:pPr>
      <w:r w:rsidRPr="00AF3AB6">
        <w:rPr>
          <w:rFonts w:cs="Arial"/>
          <w:b/>
          <w:szCs w:val="22"/>
          <w:lang w:val="de-AT"/>
        </w:rPr>
        <w:t>Guter Ausblick durch günstige Rahmenbedingungen in der EU</w:t>
      </w:r>
    </w:p>
    <w:p w:rsidR="000A16D5" w:rsidRPr="00C772C1" w:rsidRDefault="000A16D5" w:rsidP="000A16D5">
      <w:pPr>
        <w:spacing w:line="240" w:lineRule="atLeast"/>
        <w:contextualSpacing/>
        <w:rPr>
          <w:rFonts w:eastAsia="Times New Roman" w:cs="Times New Roman"/>
          <w:lang w:val="de-AT"/>
        </w:rPr>
      </w:pPr>
      <w:r w:rsidRPr="00AF3AB6">
        <w:rPr>
          <w:lang w:val="de-AT"/>
        </w:rPr>
        <w:t xml:space="preserve">Das strategische Umfeld EU bietet neue Chancen. Besonders das Kreislaufwirtschaftspaket </w:t>
      </w:r>
      <w:r>
        <w:rPr>
          <w:lang w:val="de-AT"/>
        </w:rPr>
        <w:t xml:space="preserve">der EU </w:t>
      </w:r>
      <w:r w:rsidRPr="00AF3AB6">
        <w:rPr>
          <w:lang w:val="de-AT"/>
        </w:rPr>
        <w:t>setzt h</w:t>
      </w:r>
      <w:r w:rsidRPr="00AF3AB6">
        <w:rPr>
          <w:rStyle w:val="at1"/>
          <w:rFonts w:eastAsia="Times New Roman" w:cs="Times New Roman"/>
          <w:lang w:val="de-AT"/>
        </w:rPr>
        <w:t>öhere Recyclingziele, um Impulse für den Übergang zur Kreislaufwirtschaft mit neuen Arbeitsplätzen und nachhaltigem Wachstum zu geben.</w:t>
      </w:r>
      <w:r>
        <w:rPr>
          <w:rStyle w:val="at1"/>
          <w:rFonts w:eastAsia="Times New Roman" w:cs="Times New Roman"/>
          <w:lang w:val="de-AT"/>
        </w:rPr>
        <w:t xml:space="preserve"> </w:t>
      </w:r>
      <w:r w:rsidRPr="00AF3AB6">
        <w:rPr>
          <w:lang w:val="de-AT"/>
        </w:rPr>
        <w:t xml:space="preserve">Energie-Kennzeichnung und </w:t>
      </w:r>
      <w:proofErr w:type="spellStart"/>
      <w:r w:rsidRPr="00AF3AB6">
        <w:rPr>
          <w:lang w:val="de-AT"/>
        </w:rPr>
        <w:t>Ecodesign</w:t>
      </w:r>
      <w:proofErr w:type="spellEnd"/>
      <w:r w:rsidRPr="00AF3AB6">
        <w:rPr>
          <w:lang w:val="de-AT"/>
        </w:rPr>
        <w:t xml:space="preserve"> decken immer größere Teile der Produktlandschaft ab – zunehmend auch energierelevante, nicht-energiebetriebene Produkte wie Fenster. Eine Herausforderung </w:t>
      </w:r>
      <w:r>
        <w:rPr>
          <w:lang w:val="de-AT"/>
        </w:rPr>
        <w:t xml:space="preserve">in der Zukunft </w:t>
      </w:r>
      <w:r w:rsidRPr="00AF3AB6">
        <w:rPr>
          <w:lang w:val="de-AT"/>
        </w:rPr>
        <w:t xml:space="preserve">wird also sein, die Wirkung des Instruments Umweltzeichen transparent zu machen und klar </w:t>
      </w:r>
      <w:r>
        <w:rPr>
          <w:lang w:val="de-AT"/>
        </w:rPr>
        <w:t>zu vermitteln – sowohl Unternehmen, Konsumenten als auch Händlern.</w:t>
      </w:r>
    </w:p>
    <w:p w:rsidR="000A16D5" w:rsidRPr="00AF3AB6" w:rsidRDefault="000A16D5" w:rsidP="000A16D5">
      <w:pPr>
        <w:spacing w:line="240" w:lineRule="atLeast"/>
        <w:contextualSpacing/>
        <w:rPr>
          <w:lang w:val="de-AT"/>
        </w:rPr>
      </w:pPr>
    </w:p>
    <w:p w:rsidR="000A16D5" w:rsidRPr="00AF3AB6" w:rsidRDefault="000A16D5" w:rsidP="000A16D5">
      <w:pPr>
        <w:spacing w:line="240" w:lineRule="atLeast"/>
        <w:contextualSpacing/>
        <w:rPr>
          <w:rStyle w:val="at1"/>
          <w:rFonts w:eastAsia="Times New Roman" w:cs="Times New Roman"/>
          <w:b/>
          <w:lang w:val="de-AT"/>
        </w:rPr>
      </w:pPr>
      <w:r w:rsidRPr="00AF3AB6">
        <w:rPr>
          <w:rStyle w:val="at1"/>
          <w:rFonts w:eastAsia="Times New Roman" w:cs="Times New Roman"/>
          <w:b/>
          <w:lang w:val="de-AT"/>
        </w:rPr>
        <w:t xml:space="preserve">Bekanntheit des Österreichischen Umweltzeichens </w:t>
      </w:r>
      <w:r>
        <w:rPr>
          <w:rStyle w:val="at1"/>
          <w:rFonts w:eastAsia="Times New Roman" w:cs="Times New Roman"/>
          <w:b/>
          <w:lang w:val="de-AT"/>
        </w:rPr>
        <w:t>und die Vielfalt der ausgezeichneten Produkte und Dienstleistungen nimmt stetig zu</w:t>
      </w:r>
    </w:p>
    <w:p w:rsidR="000A16D5" w:rsidRPr="00AF3AB6" w:rsidRDefault="000A16D5" w:rsidP="000A16D5">
      <w:pPr>
        <w:spacing w:line="240" w:lineRule="atLeast"/>
        <w:contextualSpacing/>
        <w:rPr>
          <w:lang w:val="de-AT"/>
        </w:rPr>
      </w:pPr>
      <w:r w:rsidRPr="00AF3AB6">
        <w:rPr>
          <w:lang w:val="de-AT"/>
        </w:rPr>
        <w:t>Für Konsumen</w:t>
      </w:r>
      <w:r>
        <w:rPr>
          <w:lang w:val="de-AT"/>
        </w:rPr>
        <w:t>ten</w:t>
      </w:r>
      <w:r w:rsidRPr="00AF3AB6">
        <w:rPr>
          <w:lang w:val="de-AT"/>
        </w:rPr>
        <w:t xml:space="preserve"> bietet das Österreichische Umweltzeichen eine verlässliche Orientierungshilfe beim Einkauf, da es für strenge Kriterien, hohe Gebrauchstauglichkeit und für die Schonung von Gesundheit, Umwelt und Ressourcen steht.</w:t>
      </w:r>
      <w:r w:rsidRPr="00AF3AB6">
        <w:rPr>
          <w:lang w:val="de-AT"/>
        </w:rPr>
        <w:br/>
        <w:t xml:space="preserve">Laut der diesjährigen Gallup-Umfrage vom September 2015 </w:t>
      </w:r>
      <w:r>
        <w:rPr>
          <w:lang w:val="de-AT"/>
        </w:rPr>
        <w:t xml:space="preserve">kennen </w:t>
      </w:r>
      <w:r w:rsidRPr="00AF3AB6">
        <w:rPr>
          <w:lang w:val="de-AT"/>
        </w:rPr>
        <w:t xml:space="preserve">59% der </w:t>
      </w:r>
      <w:r>
        <w:rPr>
          <w:lang w:val="de-AT"/>
        </w:rPr>
        <w:t xml:space="preserve">befragten </w:t>
      </w:r>
      <w:r w:rsidRPr="00AF3AB6">
        <w:rPr>
          <w:lang w:val="de-AT"/>
        </w:rPr>
        <w:t xml:space="preserve">Österreicher </w:t>
      </w:r>
      <w:r>
        <w:rPr>
          <w:lang w:val="de-AT"/>
        </w:rPr>
        <w:t xml:space="preserve">über 14 Jahre </w:t>
      </w:r>
      <w:r w:rsidRPr="00AF3AB6">
        <w:rPr>
          <w:lang w:val="de-AT"/>
        </w:rPr>
        <w:t xml:space="preserve">das Logo des Österreichischen Umweltzeichens. Es liegt bei der gestützten Bekanntheit klar an erster Stelle vor </w:t>
      </w:r>
      <w:r>
        <w:rPr>
          <w:lang w:val="de-AT"/>
        </w:rPr>
        <w:t>den anderen Umweltgütesiegeln</w:t>
      </w:r>
      <w:r w:rsidRPr="00AF3AB6">
        <w:rPr>
          <w:lang w:val="de-AT"/>
        </w:rPr>
        <w:t xml:space="preserve">. </w:t>
      </w:r>
    </w:p>
    <w:p w:rsidR="000A16D5" w:rsidRPr="00AF3AB6" w:rsidRDefault="000A16D5" w:rsidP="000A16D5">
      <w:pPr>
        <w:spacing w:line="240" w:lineRule="atLeast"/>
        <w:contextualSpacing/>
        <w:rPr>
          <w:lang w:val="de-AT"/>
        </w:rPr>
      </w:pPr>
      <w:r w:rsidRPr="00AF3AB6">
        <w:rPr>
          <w:lang w:val="de-AT"/>
        </w:rPr>
        <w:t>Österreicher verbinden das Logo des Österreichischen Umweltzeichens in erster Linie mit umweltfreundlichen Produkten und Dienstleistungen, Umweltschutz/-bewusstsein und gesunder, sauberer Umwelt. Das Vertrauen in das Umweltzeichen ist hoch</w:t>
      </w:r>
      <w:r>
        <w:rPr>
          <w:lang w:val="de-AT"/>
        </w:rPr>
        <w:t xml:space="preserve"> und</w:t>
      </w:r>
    </w:p>
    <w:p w:rsidR="002F71E0" w:rsidRDefault="000A16D5">
      <w:pPr>
        <w:spacing w:line="240" w:lineRule="atLeast"/>
        <w:contextualSpacing/>
      </w:pPr>
      <w:r>
        <w:rPr>
          <w:lang w:val="de-AT"/>
        </w:rPr>
        <w:t>f</w:t>
      </w:r>
      <w:r w:rsidRPr="00AF3AB6">
        <w:rPr>
          <w:lang w:val="de-AT"/>
        </w:rPr>
        <w:t xml:space="preserve">ür 52% der Befragten </w:t>
      </w:r>
      <w:r>
        <w:rPr>
          <w:lang w:val="de-AT"/>
        </w:rPr>
        <w:t>beeinflusst</w:t>
      </w:r>
      <w:r w:rsidRPr="00AF3AB6">
        <w:rPr>
          <w:lang w:val="de-AT"/>
        </w:rPr>
        <w:t xml:space="preserve"> das Österreichische Umweltzeichen </w:t>
      </w:r>
      <w:r>
        <w:rPr>
          <w:lang w:val="de-AT"/>
        </w:rPr>
        <w:t>die Kaufentscheidung.</w:t>
      </w:r>
    </w:p>
    <w:p w:rsidR="002F71E0" w:rsidRPr="00816EA5" w:rsidRDefault="002F71E0" w:rsidP="002F71E0">
      <w:pPr>
        <w:spacing w:line="240" w:lineRule="atLeast"/>
        <w:contextualSpacing/>
        <w:rPr>
          <w:lang w:val="de-AT"/>
        </w:rPr>
      </w:pPr>
    </w:p>
    <w:p w:rsidR="000A16D5" w:rsidRDefault="000A16D5">
      <w:pPr>
        <w:rPr>
          <w:b/>
          <w:lang w:val="de-AT"/>
        </w:rPr>
      </w:pPr>
      <w:r>
        <w:rPr>
          <w:b/>
          <w:lang w:val="de-AT"/>
        </w:rPr>
        <w:br w:type="page"/>
      </w:r>
    </w:p>
    <w:p w:rsidR="00466DB2" w:rsidRPr="00C772C1" w:rsidRDefault="004D5404" w:rsidP="00C772C1">
      <w:pPr>
        <w:spacing w:line="240" w:lineRule="atLeast"/>
        <w:contextualSpacing/>
        <w:rPr>
          <w:rFonts w:cs="Arial"/>
          <w:b/>
          <w:szCs w:val="22"/>
        </w:rPr>
      </w:pPr>
      <w:r>
        <w:rPr>
          <w:b/>
          <w:lang w:val="de-AT"/>
        </w:rPr>
        <w:lastRenderedPageBreak/>
        <w:t>Infografik „</w:t>
      </w:r>
      <w:r w:rsidR="00433E12">
        <w:rPr>
          <w:b/>
          <w:lang w:val="de-AT"/>
        </w:rPr>
        <w:t>Druckerzeugnisse</w:t>
      </w:r>
      <w:r w:rsidR="002F71E0" w:rsidRPr="00C772C1">
        <w:rPr>
          <w:b/>
          <w:lang w:val="de-AT"/>
        </w:rPr>
        <w:t>“ mit Österreichischem Umweltzeichen</w:t>
      </w:r>
      <w:r w:rsidR="00B111EE">
        <w:rPr>
          <w:b/>
          <w:lang w:val="de-AT"/>
        </w:rPr>
        <w:t xml:space="preserve"> 1995-2015</w:t>
      </w:r>
    </w:p>
    <w:p w:rsidR="00572E08" w:rsidRDefault="00572E08" w:rsidP="00572E08">
      <w:pPr>
        <w:rPr>
          <w:rFonts w:cs="Arial"/>
          <w:szCs w:val="22"/>
        </w:rPr>
      </w:pPr>
    </w:p>
    <w:p w:rsidR="003A2585" w:rsidRDefault="00446C0F" w:rsidP="006C04A7">
      <w:pPr>
        <w:jc w:val="center"/>
        <w:rPr>
          <w:rFonts w:ascii="Cambria" w:hAnsi="Cambria" w:cs="Swiss721BT-Roman"/>
          <w:b/>
          <w:szCs w:val="22"/>
          <w:lang w:eastAsia="de-AT"/>
        </w:rPr>
      </w:pPr>
      <w:r>
        <w:rPr>
          <w:noProof/>
          <w:lang w:val="de-AT" w:eastAsia="de-AT"/>
        </w:rPr>
        <w:drawing>
          <wp:inline distT="0" distB="0" distL="0" distR="0" wp14:anchorId="1E975805" wp14:editId="2F187CFA">
            <wp:extent cx="4913906" cy="3475163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grafik Druckerzeugnissse Okt.20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06" cy="347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CC" w:rsidRDefault="002436CC">
      <w:pPr>
        <w:spacing w:line="240" w:lineRule="atLeast"/>
        <w:contextualSpacing/>
        <w:rPr>
          <w:b/>
          <w:lang w:val="de-AT"/>
        </w:rPr>
      </w:pPr>
    </w:p>
    <w:p w:rsidR="003A2585" w:rsidRDefault="003A2585">
      <w:pPr>
        <w:spacing w:line="240" w:lineRule="atLeast"/>
        <w:contextualSpacing/>
        <w:rPr>
          <w:b/>
          <w:lang w:val="de-AT"/>
        </w:rPr>
      </w:pPr>
      <w:r>
        <w:rPr>
          <w:b/>
          <w:lang w:val="de-AT"/>
        </w:rPr>
        <w:t>Infografik</w:t>
      </w:r>
      <w:r w:rsidR="002F62CE">
        <w:rPr>
          <w:b/>
          <w:lang w:val="de-AT"/>
        </w:rPr>
        <w:t xml:space="preserve"> </w:t>
      </w:r>
      <w:proofErr w:type="spellStart"/>
      <w:r w:rsidR="0000043D">
        <w:rPr>
          <w:b/>
          <w:lang w:val="de-AT"/>
        </w:rPr>
        <w:t>Gugler</w:t>
      </w:r>
      <w:proofErr w:type="spellEnd"/>
      <w:r w:rsidR="0000043D">
        <w:rPr>
          <w:b/>
          <w:lang w:val="de-AT"/>
        </w:rPr>
        <w:t xml:space="preserve"> Umweltkennzahlen Vergleich 2009:2014</w:t>
      </w:r>
      <w:r w:rsidR="002436CC">
        <w:rPr>
          <w:rStyle w:val="Funotenzeichen"/>
          <w:b/>
          <w:lang w:val="de-AT"/>
        </w:rPr>
        <w:footnoteReference w:id="4"/>
      </w:r>
    </w:p>
    <w:p w:rsidR="00FC5C09" w:rsidRDefault="00FC5C09">
      <w:pPr>
        <w:spacing w:line="240" w:lineRule="atLeast"/>
        <w:contextualSpacing/>
        <w:rPr>
          <w:b/>
          <w:lang w:val="de-AT"/>
        </w:rPr>
      </w:pPr>
    </w:p>
    <w:tbl>
      <w:tblPr>
        <w:tblW w:w="9214" w:type="dxa"/>
        <w:tblInd w:w="108" w:type="dxa"/>
        <w:tblBorders>
          <w:top w:val="single" w:sz="4" w:space="0" w:color="5B9BD5"/>
          <w:bottom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418"/>
        <w:gridCol w:w="1984"/>
      </w:tblGrid>
      <w:tr w:rsidR="00D84891" w:rsidRPr="0023271B" w:rsidTr="0064755F">
        <w:trPr>
          <w:trHeight w:val="59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hideMark/>
          </w:tcPr>
          <w:p w:rsidR="00D84891" w:rsidRPr="0023271B" w:rsidRDefault="00D84891" w:rsidP="00E476CC">
            <w:pPr>
              <w:tabs>
                <w:tab w:val="left" w:pos="708"/>
              </w:tabs>
              <w:spacing w:line="276" w:lineRule="auto"/>
              <w:rPr>
                <w:rFonts w:cs="ArialMT"/>
                <w:b/>
                <w:bCs/>
                <w:sz w:val="20"/>
                <w:lang w:val="de-AT" w:eastAsia="de-AT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  <w:hideMark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rFonts w:cs="ArialMT"/>
                <w:b/>
                <w:sz w:val="20"/>
                <w:lang w:val="de-AT" w:eastAsia="de-AT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  <w:hideMark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rFonts w:cs="ArialMT"/>
                <w:b/>
                <w:sz w:val="20"/>
                <w:lang w:val="de-AT" w:eastAsia="de-AT"/>
              </w:rPr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  <w:hideMark/>
          </w:tcPr>
          <w:p w:rsidR="00D84891" w:rsidRPr="006C04A7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Veränderung</w:t>
            </w:r>
            <w:proofErr w:type="spellEnd"/>
          </w:p>
          <w:p w:rsidR="00D84891" w:rsidRPr="0023271B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(</w:t>
            </w:r>
            <w:proofErr w:type="spellStart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absolut</w:t>
            </w:r>
            <w:proofErr w:type="spellEnd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tcMar>
              <w:left w:w="28" w:type="dxa"/>
              <w:right w:w="28" w:type="dxa"/>
            </w:tcMar>
            <w:vAlign w:val="center"/>
            <w:hideMark/>
          </w:tcPr>
          <w:p w:rsidR="00D84891" w:rsidRPr="00DD571D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ArialMT"/>
                <w:b/>
                <w:bCs/>
                <w:sz w:val="20"/>
                <w:lang w:val="de-AT" w:eastAsia="de-AT"/>
              </w:rPr>
            </w:pPr>
            <w:r w:rsidRPr="00DD571D">
              <w:rPr>
                <w:rFonts w:cs="ArialMT"/>
                <w:b/>
                <w:bCs/>
                <w:sz w:val="20"/>
                <w:lang w:val="de-AT" w:eastAsia="de-AT"/>
              </w:rPr>
              <w:t>Veränderung</w:t>
            </w:r>
            <w:r w:rsidR="003833DF" w:rsidRPr="00DD571D">
              <w:rPr>
                <w:rFonts w:cs="ArialMT"/>
                <w:b/>
                <w:bCs/>
                <w:sz w:val="20"/>
                <w:lang w:val="de-AT" w:eastAsia="de-AT"/>
              </w:rPr>
              <w:t xml:space="preserve"> </w:t>
            </w:r>
            <w:r w:rsidRPr="00DD571D">
              <w:rPr>
                <w:rFonts w:cs="ArialMT"/>
                <w:b/>
                <w:bCs/>
                <w:sz w:val="20"/>
                <w:lang w:val="de-AT" w:eastAsia="de-AT"/>
              </w:rPr>
              <w:t>in %</w:t>
            </w:r>
          </w:p>
          <w:p w:rsidR="00D84891" w:rsidRPr="0023271B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DD571D">
              <w:rPr>
                <w:rFonts w:cs="ArialMT"/>
                <w:b/>
                <w:bCs/>
                <w:sz w:val="20"/>
                <w:lang w:val="de-AT" w:eastAsia="de-AT"/>
              </w:rPr>
              <w:t>(relativ zur Produktion)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:rsidR="00D84891" w:rsidRPr="006C04A7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Produktionsmenge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706,1 t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892,1 t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jc w:val="center"/>
              <w:rPr>
                <w:color w:val="000000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</w:rPr>
              <w:t>186</w:t>
            </w:r>
            <w:r w:rsidRPr="0023271B">
              <w:rPr>
                <w:color w:val="000000"/>
                <w:sz w:val="20"/>
                <w:lang w:val="de-AT" w:eastAsia="de-AT"/>
              </w:rPr>
              <w:t xml:space="preserve"> 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color w:val="FFD966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+ 26,3 %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vAlign w:val="center"/>
            <w:hideMark/>
          </w:tcPr>
          <w:p w:rsidR="00D84891" w:rsidRPr="006C04A7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Energieverbrauch</w:t>
            </w:r>
            <w:proofErr w:type="spellEnd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  <w:proofErr w:type="spellStart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>gesamt</w:t>
            </w:r>
            <w:proofErr w:type="spellEnd"/>
            <w:r w:rsidRPr="006C04A7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FrutigerLTStd-Cn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 xml:space="preserve">740,8 </w:t>
            </w:r>
            <w:proofErr w:type="spellStart"/>
            <w:r w:rsidRPr="0023271B">
              <w:rPr>
                <w:rFonts w:cs="ArialMT"/>
                <w:sz w:val="20"/>
                <w:lang w:val="de-AT" w:eastAsia="de-AT"/>
              </w:rPr>
              <w:t>MWh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889,8</w:t>
            </w:r>
            <w:r>
              <w:rPr>
                <w:rFonts w:cs="ArialMT"/>
                <w:sz w:val="20"/>
                <w:lang w:val="de-AT" w:eastAsia="de-AT"/>
              </w:rPr>
              <w:t xml:space="preserve"> </w:t>
            </w:r>
            <w:proofErr w:type="spellStart"/>
            <w:r w:rsidRPr="0023271B">
              <w:rPr>
                <w:rFonts w:cs="ArialMT"/>
                <w:sz w:val="20"/>
                <w:lang w:val="de-AT" w:eastAsia="de-AT"/>
              </w:rPr>
              <w:t>MWh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6C04A7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+149</w:t>
            </w:r>
            <w:r>
              <w:rPr>
                <w:color w:val="000000"/>
                <w:sz w:val="20"/>
                <w:lang w:val="de-AT" w:eastAsia="de-AT"/>
              </w:rPr>
              <w:t xml:space="preserve"> </w:t>
            </w:r>
            <w:proofErr w:type="spellStart"/>
            <w:r w:rsidRPr="0023271B">
              <w:rPr>
                <w:color w:val="000000"/>
                <w:sz w:val="20"/>
                <w:lang w:val="de-AT" w:eastAsia="de-AT"/>
              </w:rPr>
              <w:t>MWh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-4,8 %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</w:tcPr>
          <w:p w:rsidR="00D84891" w:rsidRPr="006C04A7" w:rsidRDefault="00D84891" w:rsidP="006C04A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FC1B03">
              <w:rPr>
                <w:rFonts w:cs="ArialMT"/>
                <w:b/>
                <w:bCs/>
                <w:sz w:val="20"/>
                <w:lang w:val="en-GB" w:eastAsia="de-AT"/>
              </w:rPr>
              <w:t>Abfallaufkommen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371,6 t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297,3 t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-74,3 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color w:val="FF0000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-37,7 %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6C04A7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FA7535">
              <w:rPr>
                <w:rFonts w:cs="ArialMT"/>
                <w:b/>
                <w:bCs/>
                <w:sz w:val="20"/>
                <w:lang w:val="en-GB" w:eastAsia="de-AT"/>
              </w:rPr>
              <w:t>Gefährliche</w:t>
            </w:r>
            <w:proofErr w:type="spellEnd"/>
            <w:r w:rsidRPr="00FA7535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  <w:proofErr w:type="spellStart"/>
            <w:r w:rsidRPr="00FA7535">
              <w:rPr>
                <w:rFonts w:cs="ArialMT"/>
                <w:b/>
                <w:bCs/>
                <w:sz w:val="20"/>
                <w:lang w:val="en-GB" w:eastAsia="de-AT"/>
              </w:rPr>
              <w:t>Abfälle</w:t>
            </w:r>
            <w:proofErr w:type="spellEnd"/>
            <w:r w:rsidRPr="00FA7535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13,9 t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16,5 t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+ 2,6 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-5 %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6C04A7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C169AF">
              <w:rPr>
                <w:rFonts w:cs="ArialMT"/>
                <w:b/>
                <w:bCs/>
                <w:sz w:val="20"/>
                <w:lang w:val="en-GB" w:eastAsia="de-AT"/>
              </w:rPr>
              <w:t>Wasserverbrauch</w:t>
            </w:r>
            <w:proofErr w:type="spellEnd"/>
            <w:r w:rsidRPr="00C169AF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  <w:proofErr w:type="spellStart"/>
            <w:r w:rsidRPr="00C169AF">
              <w:rPr>
                <w:rFonts w:cs="ArialMT"/>
                <w:b/>
                <w:bCs/>
                <w:sz w:val="20"/>
                <w:lang w:val="en-GB" w:eastAsia="de-AT"/>
              </w:rPr>
              <w:t>gesamt</w:t>
            </w:r>
            <w:proofErr w:type="spellEnd"/>
            <w:r w:rsidRPr="00C169AF"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7.010 m³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4.915 m³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- 2.095 m³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-44,5</w:t>
            </w:r>
            <w:r w:rsidR="003F4FB3">
              <w:rPr>
                <w:rFonts w:cs="ArialMT"/>
                <w:sz w:val="20"/>
                <w:lang w:val="de-AT" w:eastAsia="de-AT"/>
              </w:rPr>
              <w:t xml:space="preserve"> </w:t>
            </w:r>
            <w:r w:rsidRPr="0023271B">
              <w:rPr>
                <w:rFonts w:cs="ArialMT"/>
                <w:sz w:val="20"/>
                <w:lang w:val="de-AT" w:eastAsia="de-AT"/>
              </w:rPr>
              <w:t>%</w:t>
            </w:r>
          </w:p>
        </w:tc>
      </w:tr>
      <w:tr w:rsidR="00D84891" w:rsidRPr="0023271B" w:rsidTr="0064755F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6C04A7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Gesamtemissionen</w:t>
            </w:r>
            <w:proofErr w:type="spellEnd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 xml:space="preserve"> von </w:t>
            </w: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Treibhausgasen</w:t>
            </w:r>
            <w:proofErr w:type="spellEnd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 xml:space="preserve"> (CO</w:t>
            </w:r>
            <w:r w:rsidRPr="006C04A7">
              <w:rPr>
                <w:rFonts w:cs="ArialMT"/>
                <w:b/>
                <w:bCs/>
                <w:sz w:val="20"/>
                <w:vertAlign w:val="subscript"/>
                <w:lang w:val="en-GB" w:eastAsia="de-AT"/>
              </w:rPr>
              <w:t>2</w:t>
            </w:r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)</w:t>
            </w:r>
            <w:r>
              <w:rPr>
                <w:rFonts w:cs="ArialMT"/>
                <w:b/>
                <w:bCs/>
                <w:sz w:val="20"/>
                <w:lang w:val="en-GB" w:eastAsia="de-AT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783,3 t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841,9 t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+ 58,6 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-14,5</w:t>
            </w:r>
            <w:r w:rsidR="003F4FB3">
              <w:rPr>
                <w:rFonts w:cs="ArialMT"/>
                <w:sz w:val="20"/>
                <w:lang w:val="de-AT" w:eastAsia="de-AT"/>
              </w:rPr>
              <w:t xml:space="preserve"> </w:t>
            </w:r>
            <w:r w:rsidRPr="0023271B">
              <w:rPr>
                <w:rFonts w:cs="ArialMT"/>
                <w:sz w:val="20"/>
                <w:lang w:val="de-AT" w:eastAsia="de-AT"/>
              </w:rPr>
              <w:t>%</w:t>
            </w:r>
          </w:p>
        </w:tc>
      </w:tr>
      <w:tr w:rsidR="00D84891" w:rsidRPr="0023271B" w:rsidTr="0064755F">
        <w:trPr>
          <w:trHeight w:val="79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 w:rsidP="000B649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Ressourceneffizienz</w:t>
            </w:r>
            <w:proofErr w:type="spellEnd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 xml:space="preserve"> (</w:t>
            </w: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Produktionsmenge</w:t>
            </w:r>
            <w:proofErr w:type="spellEnd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/</w:t>
            </w:r>
          </w:p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Materialeinsatz</w:t>
            </w:r>
            <w:proofErr w:type="spellEnd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Default="00D84891" w:rsidP="000B649E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</w:p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69,9 %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Default="00D84891" w:rsidP="000B649E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</w:p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78,5 %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Default="00D84891" w:rsidP="000B649E">
            <w:pPr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20"/>
                <w:lang w:val="de-AT" w:eastAsia="de-AT"/>
              </w:rPr>
            </w:pPr>
          </w:p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+ 8,6</w:t>
            </w:r>
            <w:r w:rsidR="003F4FB3">
              <w:rPr>
                <w:color w:val="000000"/>
                <w:sz w:val="20"/>
                <w:lang w:val="de-AT" w:eastAsia="de-AT"/>
              </w:rPr>
              <w:t xml:space="preserve"> </w:t>
            </w:r>
            <w:r w:rsidRPr="0023271B">
              <w:rPr>
                <w:color w:val="000000"/>
                <w:sz w:val="20"/>
                <w:lang w:val="de-AT" w:eastAsia="de-AT"/>
              </w:rPr>
              <w:t>%</w:t>
            </w:r>
          </w:p>
        </w:tc>
      </w:tr>
      <w:tr w:rsidR="00D84891" w:rsidRPr="0023271B" w:rsidTr="0064755F">
        <w:trPr>
          <w:trHeight w:val="90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DD571D" w:rsidRDefault="00D84891" w:rsidP="006061B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de-AT" w:eastAsia="de-AT"/>
              </w:rPr>
            </w:pPr>
            <w:r w:rsidRPr="00DD571D">
              <w:rPr>
                <w:rFonts w:cs="ArialMT"/>
                <w:b/>
                <w:bCs/>
                <w:sz w:val="20"/>
                <w:lang w:val="de-AT" w:eastAsia="de-AT"/>
              </w:rPr>
              <w:t>Anteil der Papiere mit Umwelt-</w:t>
            </w:r>
          </w:p>
          <w:p w:rsidR="00D84891" w:rsidRPr="00DD571D" w:rsidRDefault="00D84891" w:rsidP="006061B4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de-AT" w:eastAsia="de-AT"/>
              </w:rPr>
            </w:pPr>
            <w:r w:rsidRPr="00DD571D">
              <w:rPr>
                <w:rFonts w:cs="ArialMT"/>
                <w:b/>
                <w:bCs/>
                <w:sz w:val="20"/>
                <w:lang w:val="de-AT" w:eastAsia="de-AT"/>
              </w:rPr>
              <w:t>zeichen- /FSC- / PEFC-Siegel inkl.</w:t>
            </w:r>
          </w:p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Cradle to Cradle-</w:t>
            </w: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Papiere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79,1 %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94,4 %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+ 283,6 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+ 15,3 %</w:t>
            </w:r>
          </w:p>
        </w:tc>
      </w:tr>
      <w:tr w:rsidR="00D84891" w:rsidRPr="0023271B" w:rsidTr="006475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  <w:proofErr w:type="spellStart"/>
            <w:r w:rsidRPr="0023271B">
              <w:rPr>
                <w:rFonts w:cs="ArialMT"/>
                <w:b/>
                <w:bCs/>
                <w:sz w:val="20"/>
                <w:lang w:val="en-GB" w:eastAsia="de-AT"/>
              </w:rPr>
              <w:t>Isopropylalkoholverbrauch</w:t>
            </w:r>
            <w:proofErr w:type="spellEnd"/>
            <w:r w:rsidR="0000043D">
              <w:rPr>
                <w:rStyle w:val="Funotenzeichen"/>
                <w:rFonts w:cs="ArialMT"/>
                <w:b/>
                <w:bCs/>
                <w:sz w:val="20"/>
                <w:lang w:val="en-GB" w:eastAsia="de-AT"/>
              </w:rPr>
              <w:footnoteReference w:id="5"/>
            </w: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2,5</w:t>
            </w:r>
            <w:r w:rsidR="0000043D">
              <w:rPr>
                <w:rFonts w:cs="ArialMT"/>
                <w:sz w:val="20"/>
                <w:lang w:val="de-AT" w:eastAsia="de-AT"/>
              </w:rPr>
              <w:t xml:space="preserve"> </w:t>
            </w:r>
            <w:r w:rsidRPr="0023271B">
              <w:rPr>
                <w:rFonts w:cs="ArialMT"/>
                <w:sz w:val="20"/>
                <w:lang w:val="de-AT" w:eastAsia="de-AT"/>
              </w:rPr>
              <w:t>kg/t</w:t>
            </w: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2,1</w:t>
            </w:r>
            <w:r w:rsidR="0000043D">
              <w:rPr>
                <w:rFonts w:cs="ArialMT"/>
                <w:sz w:val="20"/>
                <w:lang w:val="de-AT" w:eastAsia="de-AT"/>
              </w:rPr>
              <w:t xml:space="preserve"> </w:t>
            </w:r>
            <w:r w:rsidRPr="0023271B">
              <w:rPr>
                <w:rFonts w:cs="ArialMT"/>
                <w:sz w:val="20"/>
                <w:lang w:val="de-AT" w:eastAsia="de-AT"/>
              </w:rPr>
              <w:t>kg/t</w:t>
            </w: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color w:val="000000"/>
                <w:sz w:val="20"/>
                <w:lang w:val="de-AT" w:eastAsia="de-AT"/>
              </w:rPr>
              <w:t>-0,4</w:t>
            </w:r>
            <w:r w:rsidR="0000043D">
              <w:rPr>
                <w:color w:val="000000"/>
                <w:sz w:val="20"/>
                <w:lang w:val="de-AT" w:eastAsia="de-AT"/>
              </w:rPr>
              <w:t xml:space="preserve"> </w:t>
            </w:r>
            <w:r w:rsidRPr="0023271B">
              <w:rPr>
                <w:color w:val="000000"/>
                <w:sz w:val="20"/>
                <w:lang w:val="de-AT" w:eastAsia="de-AT"/>
              </w:rPr>
              <w:t>kg/t</w:t>
            </w: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  <w:r w:rsidRPr="0023271B">
              <w:rPr>
                <w:rFonts w:cs="ArialMT"/>
                <w:sz w:val="20"/>
                <w:lang w:val="de-AT" w:eastAsia="de-AT"/>
              </w:rPr>
              <w:t>-16 %</w:t>
            </w:r>
          </w:p>
        </w:tc>
      </w:tr>
      <w:tr w:rsidR="00D84891" w:rsidRPr="0023271B" w:rsidTr="0064755F">
        <w:trPr>
          <w:trHeight w:hRule="exact" w:val="113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lang w:val="en-GB" w:eastAsia="de-AT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b/>
                <w:sz w:val="20"/>
                <w:lang w:val="de-AT" w:eastAsia="de-AT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DEEAF6"/>
            <w:vAlign w:val="center"/>
          </w:tcPr>
          <w:p w:rsidR="00D84891" w:rsidRPr="0023271B" w:rsidRDefault="00D84891">
            <w:pPr>
              <w:tabs>
                <w:tab w:val="left" w:pos="708"/>
              </w:tabs>
              <w:spacing w:line="276" w:lineRule="auto"/>
              <w:jc w:val="center"/>
              <w:rPr>
                <w:rFonts w:cs="ArialMT"/>
                <w:sz w:val="20"/>
                <w:lang w:val="de-AT" w:eastAsia="de-AT"/>
              </w:rPr>
            </w:pPr>
          </w:p>
        </w:tc>
      </w:tr>
    </w:tbl>
    <w:p w:rsidR="00972EE8" w:rsidRPr="00AF3AB6" w:rsidRDefault="00674E41" w:rsidP="00972EE8">
      <w:pPr>
        <w:spacing w:line="240" w:lineRule="atLeast"/>
        <w:contextualSpacing/>
        <w:rPr>
          <w:rFonts w:cs="Arial"/>
          <w:szCs w:val="22"/>
          <w:lang w:val="de-AT"/>
        </w:rPr>
      </w:pPr>
      <w:r>
        <w:rPr>
          <w:rFonts w:cs="Arial"/>
          <w:szCs w:val="22"/>
          <w:lang w:val="de-AT"/>
        </w:rPr>
        <w:t>Alle B</w:t>
      </w:r>
      <w:r w:rsidR="00972EE8" w:rsidRPr="00AF3AB6">
        <w:rPr>
          <w:rFonts w:cs="Arial"/>
          <w:szCs w:val="22"/>
          <w:lang w:val="de-AT"/>
        </w:rPr>
        <w:t>ilder, Grafiken etc.: Abdruck honorarfrei</w:t>
      </w:r>
    </w:p>
    <w:p w:rsidR="00C616CF" w:rsidRDefault="00C616CF" w:rsidP="002B25FB"/>
    <w:p w:rsidR="00A27048" w:rsidRPr="00DD571D" w:rsidRDefault="00A27048" w:rsidP="00A27048">
      <w:pPr>
        <w:contextualSpacing/>
        <w:rPr>
          <w:lang w:val="de-AT"/>
        </w:rPr>
      </w:pPr>
      <w:r>
        <w:rPr>
          <w:b/>
        </w:rPr>
        <w:t>Datenquelle</w:t>
      </w:r>
      <w:r w:rsidRPr="00DD571D">
        <w:rPr>
          <w:lang w:val="de-AT"/>
        </w:rPr>
        <w:t xml:space="preserve">: </w:t>
      </w:r>
    </w:p>
    <w:p w:rsidR="00024727" w:rsidRDefault="00024727" w:rsidP="002B25FB">
      <w:pPr>
        <w:contextualSpacing/>
      </w:pPr>
      <w:r>
        <w:t>Meta-Evaluierung Österreichisches Umweltzeichen, Oktober 2015</w:t>
      </w:r>
    </w:p>
    <w:p w:rsidR="00637579" w:rsidRDefault="00637579" w:rsidP="002B25FB"/>
    <w:p w:rsidR="005B12EE" w:rsidRDefault="005B12EE" w:rsidP="00A62F5A">
      <w:pPr>
        <w:contextualSpacing/>
        <w:rPr>
          <w:b/>
        </w:rPr>
      </w:pPr>
      <w:r>
        <w:rPr>
          <w:b/>
        </w:rPr>
        <w:t>Mehr Information</w:t>
      </w:r>
      <w:r w:rsidR="00972EE8">
        <w:rPr>
          <w:b/>
        </w:rPr>
        <w:t xml:space="preserve"> zum Österreichischen Umweltzeichen, Bereich Produkte</w:t>
      </w:r>
    </w:p>
    <w:p w:rsidR="00AB429B" w:rsidRDefault="00296DD9" w:rsidP="00A62F5A">
      <w:pPr>
        <w:contextualSpacing/>
      </w:pPr>
      <w:hyperlink r:id="rId13" w:history="1">
        <w:r w:rsidR="00AB429B" w:rsidRPr="008305C3">
          <w:rPr>
            <w:rStyle w:val="Hyperlink"/>
          </w:rPr>
          <w:t>www.umweltzeichen.at/</w:t>
        </w:r>
        <w:r w:rsidR="00AB429B" w:rsidRPr="0043587D">
          <w:rPr>
            <w:rStyle w:val="Hyperlink"/>
          </w:rPr>
          <w:t>produkte</w:t>
        </w:r>
      </w:hyperlink>
    </w:p>
    <w:p w:rsidR="00A35584" w:rsidRPr="00C772C1" w:rsidRDefault="00A35584" w:rsidP="00A62F5A">
      <w:pPr>
        <w:contextualSpacing/>
        <w:rPr>
          <w:b/>
          <w:sz w:val="16"/>
          <w:szCs w:val="16"/>
        </w:rPr>
      </w:pPr>
    </w:p>
    <w:p w:rsidR="00A35584" w:rsidRDefault="00A35584" w:rsidP="00A62F5A">
      <w:pPr>
        <w:contextualSpacing/>
        <w:rPr>
          <w:b/>
        </w:rPr>
      </w:pPr>
      <w:r w:rsidRPr="00A35584">
        <w:rPr>
          <w:b/>
        </w:rPr>
        <w:t>Newsletter</w:t>
      </w:r>
    </w:p>
    <w:p w:rsidR="00A35584" w:rsidRDefault="00296DD9" w:rsidP="00A62F5A">
      <w:pPr>
        <w:contextualSpacing/>
      </w:pPr>
      <w:hyperlink r:id="rId14" w:history="1">
        <w:r w:rsidR="00A35584" w:rsidRPr="0082459C">
          <w:rPr>
            <w:rStyle w:val="Hyperlink"/>
          </w:rPr>
          <w:t>www.umweltzeichen.at/cms/home233/newsletter-aktuell/content.html</w:t>
        </w:r>
      </w:hyperlink>
    </w:p>
    <w:p w:rsidR="003E0E9C" w:rsidRPr="00C772C1" w:rsidRDefault="003E0E9C" w:rsidP="00A62F5A">
      <w:pPr>
        <w:contextualSpacing/>
        <w:rPr>
          <w:sz w:val="16"/>
          <w:szCs w:val="16"/>
        </w:rPr>
      </w:pPr>
    </w:p>
    <w:p w:rsidR="00A048DC" w:rsidRDefault="00141557" w:rsidP="00A62F5A">
      <w:pPr>
        <w:contextualSpacing/>
        <w:rPr>
          <w:b/>
        </w:rPr>
      </w:pPr>
      <w:r>
        <w:rPr>
          <w:b/>
        </w:rPr>
        <w:t>K</w:t>
      </w:r>
      <w:r w:rsidR="00A048DC" w:rsidRPr="00A048DC">
        <w:rPr>
          <w:b/>
        </w:rPr>
        <w:t>ontakt</w:t>
      </w:r>
    </w:p>
    <w:p w:rsidR="006E3EEB" w:rsidRPr="00A048DC" w:rsidRDefault="00A048DC" w:rsidP="00A62F5A">
      <w:pPr>
        <w:contextualSpacing/>
      </w:pPr>
      <w:r w:rsidRPr="00A048DC">
        <w:t>Mag. Ernst Leitner</w:t>
      </w:r>
      <w:r w:rsidR="00CC5A78">
        <w:t xml:space="preserve">, </w:t>
      </w:r>
      <w:r w:rsidRPr="00A048DC">
        <w:t>G&amp;L Werbe- und Verlags GmbH</w:t>
      </w:r>
      <w:r w:rsidR="00CC5A78">
        <w:t xml:space="preserve"> (i</w:t>
      </w:r>
      <w:r w:rsidRPr="00DB5716">
        <w:t xml:space="preserve">m Auftrag des </w:t>
      </w:r>
      <w:r w:rsidR="00CC5A78">
        <w:t>BMLFUW)</w:t>
      </w:r>
    </w:p>
    <w:p w:rsidR="002A4D35" w:rsidRDefault="00A048DC">
      <w:pPr>
        <w:contextualSpacing/>
      </w:pPr>
      <w:r>
        <w:t>E</w:t>
      </w:r>
      <w:r w:rsidR="009E2DE2">
        <w:t>-M</w:t>
      </w:r>
      <w:r>
        <w:t>ail:</w:t>
      </w:r>
      <w:r w:rsidR="009E2DE2">
        <w:t xml:space="preserve"> </w:t>
      </w:r>
      <w:hyperlink r:id="rId15" w:history="1">
        <w:r w:rsidRPr="00A048DC">
          <w:rPr>
            <w:rStyle w:val="Hyperlink"/>
          </w:rPr>
          <w:t>ernst.leitner@gul.at</w:t>
        </w:r>
      </w:hyperlink>
      <w:r w:rsidR="00362B67">
        <w:t xml:space="preserve">, </w:t>
      </w:r>
      <w:r>
        <w:t>Mobil:</w:t>
      </w:r>
      <w:r w:rsidR="009E2DE2">
        <w:t xml:space="preserve"> 0</w:t>
      </w:r>
      <w:r w:rsidRPr="00A048DC">
        <w:t>676 5412340</w:t>
      </w:r>
      <w:r w:rsidR="00E537DB">
        <w:t xml:space="preserve">; </w:t>
      </w:r>
      <w:r w:rsidR="00091045">
        <w:t xml:space="preserve">Festnetz: </w:t>
      </w:r>
      <w:r w:rsidR="009E2DE2">
        <w:t xml:space="preserve"> 0</w:t>
      </w:r>
      <w:r w:rsidR="00091045">
        <w:t xml:space="preserve">1 712 28 18 </w:t>
      </w:r>
      <w:r w:rsidR="009E2DE2">
        <w:t>(</w:t>
      </w:r>
      <w:r w:rsidR="003230B4">
        <w:t>11</w:t>
      </w:r>
      <w:r w:rsidR="00091045">
        <w:t>-1</w:t>
      </w:r>
      <w:r w:rsidR="003230B4">
        <w:t>5</w:t>
      </w:r>
      <w:r w:rsidR="00091045">
        <w:t xml:space="preserve"> h</w:t>
      </w:r>
      <w:r w:rsidR="009E2DE2">
        <w:t>)</w:t>
      </w:r>
    </w:p>
    <w:p w:rsidR="002D32D1" w:rsidRDefault="002D32D1">
      <w:pPr>
        <w:contextualSpacing/>
        <w:rPr>
          <w:b/>
        </w:rPr>
      </w:pPr>
    </w:p>
    <w:p w:rsidR="00E262AE" w:rsidRDefault="00E262AE">
      <w:pPr>
        <w:contextualSpacing/>
      </w:pPr>
    </w:p>
    <w:p w:rsidR="00DD15CD" w:rsidRDefault="00DD15CD">
      <w:pPr>
        <w:contextualSpacing/>
      </w:pPr>
    </w:p>
    <w:p w:rsidR="00DD15CD" w:rsidRDefault="00DD15CD">
      <w:pPr>
        <w:contextualSpacing/>
      </w:pPr>
    </w:p>
    <w:p w:rsidR="00DD15CD" w:rsidRPr="00A048DC" w:rsidRDefault="00DD15CD">
      <w:pPr>
        <w:contextualSpacing/>
      </w:pPr>
    </w:p>
    <w:sectPr w:rsidR="00DD15CD" w:rsidRPr="00A048DC" w:rsidSect="00A2678A">
      <w:pgSz w:w="11900" w:h="16840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D9" w:rsidRDefault="00296DD9" w:rsidP="00CC5A78">
      <w:r>
        <w:separator/>
      </w:r>
    </w:p>
  </w:endnote>
  <w:endnote w:type="continuationSeparator" w:id="0">
    <w:p w:rsidR="00296DD9" w:rsidRDefault="00296DD9" w:rsidP="00CC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DIN-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763966"/>
      <w:docPartObj>
        <w:docPartGallery w:val="Page Numbers (Bottom of Page)"/>
        <w:docPartUnique/>
      </w:docPartObj>
    </w:sdtPr>
    <w:sdtEndPr/>
    <w:sdtContent>
      <w:p w:rsidR="00A351CC" w:rsidRDefault="00A351C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169">
          <w:rPr>
            <w:noProof/>
          </w:rPr>
          <w:t>1</w:t>
        </w:r>
        <w:r>
          <w:fldChar w:fldCharType="end"/>
        </w:r>
      </w:p>
    </w:sdtContent>
  </w:sdt>
  <w:p w:rsidR="00A351CC" w:rsidRDefault="00A351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D9" w:rsidRDefault="00296DD9" w:rsidP="00CC5A78">
      <w:r>
        <w:separator/>
      </w:r>
    </w:p>
  </w:footnote>
  <w:footnote w:type="continuationSeparator" w:id="0">
    <w:p w:rsidR="00296DD9" w:rsidRDefault="00296DD9" w:rsidP="00CC5A78">
      <w:r>
        <w:continuationSeparator/>
      </w:r>
    </w:p>
  </w:footnote>
  <w:footnote w:id="1">
    <w:p w:rsidR="00726E8D" w:rsidRPr="00E476CC" w:rsidRDefault="00726E8D" w:rsidP="00726E8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="00C4150A">
        <w:rPr>
          <w:lang w:val="de-AT"/>
        </w:rPr>
        <w:t>Sh</w:t>
      </w:r>
      <w:proofErr w:type="spellEnd"/>
      <w:r w:rsidR="00C4150A">
        <w:rPr>
          <w:lang w:val="de-AT"/>
        </w:rPr>
        <w:t>.</w:t>
      </w:r>
      <w:r w:rsidR="0000043D">
        <w:rPr>
          <w:lang w:val="de-AT"/>
        </w:rPr>
        <w:t xml:space="preserve"> Infografik</w:t>
      </w:r>
      <w:r w:rsidR="003833DF">
        <w:rPr>
          <w:lang w:val="de-AT"/>
        </w:rPr>
        <w:t xml:space="preserve"> </w:t>
      </w:r>
      <w:proofErr w:type="spellStart"/>
      <w:r w:rsidR="003833DF">
        <w:rPr>
          <w:lang w:val="de-AT"/>
        </w:rPr>
        <w:t>Gugler</w:t>
      </w:r>
      <w:proofErr w:type="spellEnd"/>
      <w:r w:rsidR="003833DF">
        <w:rPr>
          <w:lang w:val="de-AT"/>
        </w:rPr>
        <w:t xml:space="preserve"> Umweltkennzahlen</w:t>
      </w:r>
    </w:p>
  </w:footnote>
  <w:footnote w:id="2">
    <w:p w:rsidR="00726E8D" w:rsidRPr="006C04A7" w:rsidRDefault="00726E8D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="006A32D0" w:rsidRPr="00DD571D">
        <w:rPr>
          <w:vertAlign w:val="superscript"/>
        </w:rPr>
        <w:t>,</w:t>
      </w:r>
      <w:r w:rsidR="006A32D0">
        <w:rPr>
          <w:rStyle w:val="Funotenzeichen"/>
        </w:rPr>
        <w:t xml:space="preserve"> </w:t>
      </w:r>
      <w:r w:rsidR="006A32D0" w:rsidRPr="00DD571D">
        <w:rPr>
          <w:rStyle w:val="Funotenzeichen"/>
        </w:rPr>
        <w:t>3</w:t>
      </w:r>
      <w:r>
        <w:t xml:space="preserve"> </w:t>
      </w:r>
      <w:r>
        <w:rPr>
          <w:lang w:val="de-AT"/>
        </w:rPr>
        <w:t xml:space="preserve">Meta-Evaluierung Österreichisches Umweltzeichen, </w:t>
      </w:r>
      <w:proofErr w:type="spellStart"/>
      <w:r w:rsidR="003833DF">
        <w:rPr>
          <w:lang w:val="de-AT"/>
        </w:rPr>
        <w:t>Pulswerk</w:t>
      </w:r>
      <w:proofErr w:type="spellEnd"/>
      <w:r w:rsidR="003833DF">
        <w:rPr>
          <w:lang w:val="de-AT"/>
        </w:rPr>
        <w:t>/</w:t>
      </w:r>
      <w:r>
        <w:rPr>
          <w:lang w:val="de-AT"/>
        </w:rPr>
        <w:t>Georg Tappeiner, Sarah Haas, Oktober 2015</w:t>
      </w:r>
    </w:p>
  </w:footnote>
  <w:footnote w:id="3">
    <w:p w:rsidR="006A32D0" w:rsidRPr="00DD571D" w:rsidRDefault="006A32D0">
      <w:pPr>
        <w:pStyle w:val="Funotentext"/>
        <w:rPr>
          <w:lang w:val="de-AT"/>
        </w:rPr>
      </w:pPr>
    </w:p>
  </w:footnote>
  <w:footnote w:id="4">
    <w:p w:rsidR="002436CC" w:rsidRPr="0023271B" w:rsidRDefault="002436CC" w:rsidP="002436CC">
      <w:pPr>
        <w:spacing w:line="276" w:lineRule="auto"/>
        <w:rPr>
          <w:rFonts w:ascii="Cambria" w:hAnsi="Cambria"/>
          <w:szCs w:val="22"/>
        </w:rPr>
      </w:pPr>
      <w:r>
        <w:rPr>
          <w:rStyle w:val="Funotenzeichen"/>
        </w:rPr>
        <w:footnoteRef/>
      </w:r>
      <w:r>
        <w:t xml:space="preserve"> </w:t>
      </w:r>
      <w:r w:rsidRPr="006C04A7">
        <w:rPr>
          <w:rFonts w:ascii="Cambria" w:hAnsi="Cambria"/>
          <w:sz w:val="18"/>
          <w:szCs w:val="18"/>
          <w:lang w:val="de-AT"/>
        </w:rPr>
        <w:t xml:space="preserve">In der Druckerei </w:t>
      </w:r>
      <w:proofErr w:type="spellStart"/>
      <w:r w:rsidRPr="006C04A7">
        <w:rPr>
          <w:rFonts w:ascii="Cambria" w:hAnsi="Cambria"/>
          <w:sz w:val="18"/>
          <w:szCs w:val="18"/>
          <w:lang w:val="de-AT"/>
        </w:rPr>
        <w:t>Gugler</w:t>
      </w:r>
      <w:proofErr w:type="spellEnd"/>
      <w:r w:rsidRPr="006C04A7">
        <w:rPr>
          <w:rFonts w:ascii="Cambria" w:hAnsi="Cambria"/>
          <w:sz w:val="18"/>
          <w:szCs w:val="18"/>
          <w:lang w:val="de-AT"/>
        </w:rPr>
        <w:t>* konnten seit der Zertifizierung in den Jahren von 2009 bis 2014 in fast allen umweltrelevanten Bereichen Verbesserungen erreicht werden. Die Veränderungen lassen sich auf die Umweltzeichen-Zertifizierung, das Umweltmanagementsystem sowie weitere Zertifikate zurückführen.</w:t>
      </w:r>
      <w:r w:rsidRPr="00666615">
        <w:rPr>
          <w:rFonts w:ascii="Cambria" w:hAnsi="Cambria"/>
          <w:szCs w:val="22"/>
        </w:rPr>
        <w:t xml:space="preserve"> </w:t>
      </w:r>
      <w:r w:rsidR="0000043D" w:rsidRPr="006C04A7">
        <w:rPr>
          <w:rFonts w:ascii="Cambria" w:hAnsi="Cambria"/>
          <w:sz w:val="18"/>
          <w:szCs w:val="18"/>
          <w:lang w:val="de-AT"/>
        </w:rPr>
        <w:t>Quelle:</w:t>
      </w:r>
      <w:r w:rsidR="0000043D">
        <w:rPr>
          <w:rFonts w:ascii="Cambria" w:hAnsi="Cambria"/>
          <w:szCs w:val="22"/>
        </w:rPr>
        <w:t xml:space="preserve"> </w:t>
      </w:r>
      <w:proofErr w:type="spellStart"/>
      <w:r w:rsidR="0000043D" w:rsidRPr="00386DE0">
        <w:rPr>
          <w:rFonts w:ascii="Cambria" w:hAnsi="Cambria"/>
          <w:sz w:val="18"/>
          <w:szCs w:val="18"/>
        </w:rPr>
        <w:t>gugler</w:t>
      </w:r>
      <w:proofErr w:type="spellEnd"/>
      <w:r w:rsidR="0000043D" w:rsidRPr="00386DE0">
        <w:rPr>
          <w:rFonts w:ascii="Cambria" w:hAnsi="Cambria"/>
          <w:sz w:val="18"/>
          <w:szCs w:val="18"/>
        </w:rPr>
        <w:t xml:space="preserve">* </w:t>
      </w:r>
      <w:r w:rsidR="0000043D" w:rsidRPr="00386DE0">
        <w:rPr>
          <w:rFonts w:ascii="Cambria" w:hAnsi="Cambria"/>
          <w:sz w:val="18"/>
          <w:szCs w:val="18"/>
          <w:lang w:val="de-AT"/>
        </w:rPr>
        <w:t>Umwelterklärung 2012 und 2014/2015</w:t>
      </w:r>
      <w:r w:rsidR="0000043D">
        <w:rPr>
          <w:rFonts w:ascii="Cambria" w:hAnsi="Cambria"/>
          <w:sz w:val="18"/>
          <w:szCs w:val="18"/>
          <w:lang w:val="de-AT"/>
        </w:rPr>
        <w:t>, online</w:t>
      </w:r>
      <w:r w:rsidR="0000043D" w:rsidRPr="00386DE0">
        <w:rPr>
          <w:rFonts w:ascii="Cambria" w:hAnsi="Cambria"/>
          <w:sz w:val="18"/>
          <w:szCs w:val="18"/>
          <w:lang w:val="de-AT"/>
        </w:rPr>
        <w:t xml:space="preserve"> http://www.gugler.at/unternehmen/publikationen/gugler-umwelterklaerung.html</w:t>
      </w:r>
    </w:p>
    <w:p w:rsidR="002436CC" w:rsidRPr="006C04A7" w:rsidRDefault="002436CC">
      <w:pPr>
        <w:pStyle w:val="Funotentext"/>
        <w:rPr>
          <w:lang w:val="de-AT"/>
        </w:rPr>
      </w:pPr>
    </w:p>
  </w:footnote>
  <w:footnote w:id="5">
    <w:p w:rsidR="0000043D" w:rsidRPr="006C04A7" w:rsidRDefault="0000043D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DD571D">
        <w:rPr>
          <w:sz w:val="18"/>
          <w:szCs w:val="18"/>
        </w:rPr>
        <w:t xml:space="preserve">Anmerkung: 45 % der VOC-Emissionen werden durch </w:t>
      </w:r>
      <w:proofErr w:type="spellStart"/>
      <w:r w:rsidRPr="00DD571D">
        <w:rPr>
          <w:sz w:val="18"/>
          <w:szCs w:val="18"/>
        </w:rPr>
        <w:t>Isopropanol</w:t>
      </w:r>
      <w:proofErr w:type="spellEnd"/>
      <w:r w:rsidRPr="00DD571D">
        <w:rPr>
          <w:sz w:val="18"/>
          <w:szCs w:val="18"/>
        </w:rPr>
        <w:t xml:space="preserve"> (IPA) verursacht (</w:t>
      </w:r>
      <w:proofErr w:type="spellStart"/>
      <w:r w:rsidRPr="00DD571D">
        <w:rPr>
          <w:sz w:val="18"/>
          <w:szCs w:val="18"/>
        </w:rPr>
        <w:t>sh</w:t>
      </w:r>
      <w:proofErr w:type="spellEnd"/>
      <w:r w:rsidRPr="00DD571D">
        <w:rPr>
          <w:sz w:val="18"/>
          <w:szCs w:val="18"/>
        </w:rPr>
        <w:t>. Meta-Evaluierung, Österreichisches Umweltzeichen, Oktober 2015, S. 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04" w:rsidRDefault="004D5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6E0"/>
    <w:multiLevelType w:val="hybridMultilevel"/>
    <w:tmpl w:val="549A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46123"/>
    <w:multiLevelType w:val="hybridMultilevel"/>
    <w:tmpl w:val="8FCC32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B6"/>
    <w:rsid w:val="0000043D"/>
    <w:rsid w:val="00000A51"/>
    <w:rsid w:val="00001036"/>
    <w:rsid w:val="00016C42"/>
    <w:rsid w:val="00024727"/>
    <w:rsid w:val="00030C44"/>
    <w:rsid w:val="00050D3F"/>
    <w:rsid w:val="000549E8"/>
    <w:rsid w:val="00057488"/>
    <w:rsid w:val="00064C91"/>
    <w:rsid w:val="00091045"/>
    <w:rsid w:val="000918DF"/>
    <w:rsid w:val="00094B3D"/>
    <w:rsid w:val="00096BF8"/>
    <w:rsid w:val="00097047"/>
    <w:rsid w:val="000A16D5"/>
    <w:rsid w:val="000C14B9"/>
    <w:rsid w:val="000D17C4"/>
    <w:rsid w:val="000E1F5B"/>
    <w:rsid w:val="000F03AE"/>
    <w:rsid w:val="001016E6"/>
    <w:rsid w:val="00106FF5"/>
    <w:rsid w:val="00134B23"/>
    <w:rsid w:val="00141557"/>
    <w:rsid w:val="00153B71"/>
    <w:rsid w:val="00162445"/>
    <w:rsid w:val="00166691"/>
    <w:rsid w:val="0017192A"/>
    <w:rsid w:val="00181B33"/>
    <w:rsid w:val="001A0CB7"/>
    <w:rsid w:val="001B7558"/>
    <w:rsid w:val="001D5585"/>
    <w:rsid w:val="001E63C8"/>
    <w:rsid w:val="001E6C87"/>
    <w:rsid w:val="001F442E"/>
    <w:rsid w:val="0021761E"/>
    <w:rsid w:val="00222223"/>
    <w:rsid w:val="002436CC"/>
    <w:rsid w:val="002540B1"/>
    <w:rsid w:val="00263490"/>
    <w:rsid w:val="0027769C"/>
    <w:rsid w:val="0029083C"/>
    <w:rsid w:val="002963A3"/>
    <w:rsid w:val="00296DD9"/>
    <w:rsid w:val="002A4D35"/>
    <w:rsid w:val="002A60B7"/>
    <w:rsid w:val="002B25FB"/>
    <w:rsid w:val="002B2B64"/>
    <w:rsid w:val="002D32D1"/>
    <w:rsid w:val="002D49F4"/>
    <w:rsid w:val="002E13A0"/>
    <w:rsid w:val="002E433B"/>
    <w:rsid w:val="002F62CE"/>
    <w:rsid w:val="002F71E0"/>
    <w:rsid w:val="00304C25"/>
    <w:rsid w:val="003140E3"/>
    <w:rsid w:val="00317404"/>
    <w:rsid w:val="003230B4"/>
    <w:rsid w:val="00343888"/>
    <w:rsid w:val="00362B67"/>
    <w:rsid w:val="003833DF"/>
    <w:rsid w:val="003849FB"/>
    <w:rsid w:val="003A2585"/>
    <w:rsid w:val="003E0E9C"/>
    <w:rsid w:val="003F4FB3"/>
    <w:rsid w:val="004205BE"/>
    <w:rsid w:val="00433E12"/>
    <w:rsid w:val="00446C0F"/>
    <w:rsid w:val="00447C75"/>
    <w:rsid w:val="00450E6E"/>
    <w:rsid w:val="00452DCE"/>
    <w:rsid w:val="00466DB2"/>
    <w:rsid w:val="00471890"/>
    <w:rsid w:val="00491D3B"/>
    <w:rsid w:val="004A1870"/>
    <w:rsid w:val="004A3395"/>
    <w:rsid w:val="004A4474"/>
    <w:rsid w:val="004B380C"/>
    <w:rsid w:val="004D5404"/>
    <w:rsid w:val="004E235D"/>
    <w:rsid w:val="004E37B7"/>
    <w:rsid w:val="004E4613"/>
    <w:rsid w:val="00506D0E"/>
    <w:rsid w:val="005103EB"/>
    <w:rsid w:val="00522880"/>
    <w:rsid w:val="005253B2"/>
    <w:rsid w:val="005256B6"/>
    <w:rsid w:val="00562EFE"/>
    <w:rsid w:val="00563E9D"/>
    <w:rsid w:val="00571052"/>
    <w:rsid w:val="00572E08"/>
    <w:rsid w:val="00580869"/>
    <w:rsid w:val="005905D2"/>
    <w:rsid w:val="005A1D15"/>
    <w:rsid w:val="005B0567"/>
    <w:rsid w:val="005B12EE"/>
    <w:rsid w:val="005B371E"/>
    <w:rsid w:val="005C0545"/>
    <w:rsid w:val="005C35EA"/>
    <w:rsid w:val="005C4D8C"/>
    <w:rsid w:val="005D563E"/>
    <w:rsid w:val="005E2403"/>
    <w:rsid w:val="005F7263"/>
    <w:rsid w:val="00605F4A"/>
    <w:rsid w:val="00612645"/>
    <w:rsid w:val="00637579"/>
    <w:rsid w:val="0064596D"/>
    <w:rsid w:val="0064755F"/>
    <w:rsid w:val="006653D1"/>
    <w:rsid w:val="00674E41"/>
    <w:rsid w:val="00676E3A"/>
    <w:rsid w:val="006777F1"/>
    <w:rsid w:val="006806CD"/>
    <w:rsid w:val="006A32D0"/>
    <w:rsid w:val="006A5AA0"/>
    <w:rsid w:val="006A5BB6"/>
    <w:rsid w:val="006C04A7"/>
    <w:rsid w:val="006C5D5F"/>
    <w:rsid w:val="006D69C5"/>
    <w:rsid w:val="006E3EEB"/>
    <w:rsid w:val="006E5B47"/>
    <w:rsid w:val="006E7BE7"/>
    <w:rsid w:val="006F73B8"/>
    <w:rsid w:val="00702040"/>
    <w:rsid w:val="00726E8D"/>
    <w:rsid w:val="0073396E"/>
    <w:rsid w:val="00755B63"/>
    <w:rsid w:val="00755BD3"/>
    <w:rsid w:val="0079116E"/>
    <w:rsid w:val="007F65E0"/>
    <w:rsid w:val="00802BD5"/>
    <w:rsid w:val="00806BA6"/>
    <w:rsid w:val="00815B62"/>
    <w:rsid w:val="008305C3"/>
    <w:rsid w:val="00842A80"/>
    <w:rsid w:val="00850416"/>
    <w:rsid w:val="008539B1"/>
    <w:rsid w:val="008672C6"/>
    <w:rsid w:val="008738A6"/>
    <w:rsid w:val="008917D6"/>
    <w:rsid w:val="008A2292"/>
    <w:rsid w:val="008A44CD"/>
    <w:rsid w:val="008A6EC8"/>
    <w:rsid w:val="008B114D"/>
    <w:rsid w:val="008B3B38"/>
    <w:rsid w:val="008F6F72"/>
    <w:rsid w:val="00902D63"/>
    <w:rsid w:val="00902DE9"/>
    <w:rsid w:val="00903DD3"/>
    <w:rsid w:val="00904FD0"/>
    <w:rsid w:val="00913FB6"/>
    <w:rsid w:val="00952C40"/>
    <w:rsid w:val="00965388"/>
    <w:rsid w:val="00971548"/>
    <w:rsid w:val="00972EE8"/>
    <w:rsid w:val="00990157"/>
    <w:rsid w:val="009A62A5"/>
    <w:rsid w:val="009A6C1D"/>
    <w:rsid w:val="009A6DF0"/>
    <w:rsid w:val="009D65BC"/>
    <w:rsid w:val="009E2DE2"/>
    <w:rsid w:val="00A00917"/>
    <w:rsid w:val="00A048DC"/>
    <w:rsid w:val="00A2678A"/>
    <w:rsid w:val="00A27048"/>
    <w:rsid w:val="00A351CC"/>
    <w:rsid w:val="00A35584"/>
    <w:rsid w:val="00A62F5A"/>
    <w:rsid w:val="00A70E8E"/>
    <w:rsid w:val="00A76B3C"/>
    <w:rsid w:val="00A87730"/>
    <w:rsid w:val="00A93812"/>
    <w:rsid w:val="00AB429B"/>
    <w:rsid w:val="00AC4EBD"/>
    <w:rsid w:val="00AF7789"/>
    <w:rsid w:val="00B111EE"/>
    <w:rsid w:val="00B11EE5"/>
    <w:rsid w:val="00B52558"/>
    <w:rsid w:val="00B643FB"/>
    <w:rsid w:val="00B80C12"/>
    <w:rsid w:val="00BA3A08"/>
    <w:rsid w:val="00BC30FC"/>
    <w:rsid w:val="00BE2A00"/>
    <w:rsid w:val="00BE7F74"/>
    <w:rsid w:val="00BF4C10"/>
    <w:rsid w:val="00BF543E"/>
    <w:rsid w:val="00C07FDB"/>
    <w:rsid w:val="00C16E77"/>
    <w:rsid w:val="00C4150A"/>
    <w:rsid w:val="00C44EFF"/>
    <w:rsid w:val="00C45DCC"/>
    <w:rsid w:val="00C574F3"/>
    <w:rsid w:val="00C57E86"/>
    <w:rsid w:val="00C6159B"/>
    <w:rsid w:val="00C616CF"/>
    <w:rsid w:val="00C772C1"/>
    <w:rsid w:val="00C846E0"/>
    <w:rsid w:val="00C93669"/>
    <w:rsid w:val="00CA20F6"/>
    <w:rsid w:val="00CB3B3C"/>
    <w:rsid w:val="00CC5A78"/>
    <w:rsid w:val="00CD3829"/>
    <w:rsid w:val="00CE5D8B"/>
    <w:rsid w:val="00D324EA"/>
    <w:rsid w:val="00D3739D"/>
    <w:rsid w:val="00D40B6D"/>
    <w:rsid w:val="00D52F41"/>
    <w:rsid w:val="00D5404E"/>
    <w:rsid w:val="00D568EA"/>
    <w:rsid w:val="00D624BA"/>
    <w:rsid w:val="00D67169"/>
    <w:rsid w:val="00D84891"/>
    <w:rsid w:val="00D906C8"/>
    <w:rsid w:val="00DA0214"/>
    <w:rsid w:val="00DA54DF"/>
    <w:rsid w:val="00DB02CE"/>
    <w:rsid w:val="00DB05F0"/>
    <w:rsid w:val="00DB3A2E"/>
    <w:rsid w:val="00DB5716"/>
    <w:rsid w:val="00DD15CD"/>
    <w:rsid w:val="00DD571D"/>
    <w:rsid w:val="00DE0071"/>
    <w:rsid w:val="00E113F3"/>
    <w:rsid w:val="00E1402E"/>
    <w:rsid w:val="00E17622"/>
    <w:rsid w:val="00E25864"/>
    <w:rsid w:val="00E262AE"/>
    <w:rsid w:val="00E537DB"/>
    <w:rsid w:val="00E6227C"/>
    <w:rsid w:val="00E67D05"/>
    <w:rsid w:val="00E908B9"/>
    <w:rsid w:val="00E95774"/>
    <w:rsid w:val="00F02E91"/>
    <w:rsid w:val="00F60F97"/>
    <w:rsid w:val="00F93000"/>
    <w:rsid w:val="00F953C6"/>
    <w:rsid w:val="00FB541B"/>
    <w:rsid w:val="00FB64E8"/>
    <w:rsid w:val="00FC5C09"/>
    <w:rsid w:val="00FD4B04"/>
    <w:rsid w:val="00FE0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character" w:styleId="Hyperlink">
    <w:name w:val="Hyperlink"/>
    <w:basedOn w:val="Absatz-Standardschriftart"/>
    <w:uiPriority w:val="99"/>
    <w:unhideWhenUsed/>
    <w:rsid w:val="006A5BB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1548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F65E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customStyle="1" w:styleId="c1">
    <w:name w:val="c1"/>
    <w:basedOn w:val="Absatz-Standardschriftart"/>
    <w:rsid w:val="007F65E0"/>
  </w:style>
  <w:style w:type="character" w:styleId="Kommentarzeichen">
    <w:name w:val="annotation reference"/>
    <w:basedOn w:val="Absatz-Standardschriftart"/>
    <w:uiPriority w:val="99"/>
    <w:semiHidden/>
    <w:unhideWhenUsed/>
    <w:rsid w:val="002B25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5F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5F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5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5FB"/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5F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5F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8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5A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5A7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C5A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5A78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0E9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0E9C"/>
  </w:style>
  <w:style w:type="character" w:styleId="Endnotenzeichen">
    <w:name w:val="endnote reference"/>
    <w:basedOn w:val="Absatz-Standardschriftart"/>
    <w:uiPriority w:val="99"/>
    <w:semiHidden/>
    <w:unhideWhenUsed/>
    <w:rsid w:val="003E0E9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0E9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0E9C"/>
  </w:style>
  <w:style w:type="character" w:styleId="Funotenzeichen">
    <w:name w:val="footnote reference"/>
    <w:basedOn w:val="Absatz-Standardschriftart"/>
    <w:uiPriority w:val="99"/>
    <w:unhideWhenUsed/>
    <w:rsid w:val="003E0E9C"/>
    <w:rPr>
      <w:vertAlign w:val="superscript"/>
    </w:rPr>
  </w:style>
  <w:style w:type="character" w:customStyle="1" w:styleId="apple-tab-span">
    <w:name w:val="apple-tab-span"/>
    <w:basedOn w:val="Absatz-Standardschriftart"/>
    <w:rsid w:val="00A00917"/>
  </w:style>
  <w:style w:type="character" w:customStyle="1" w:styleId="at1">
    <w:name w:val="a__t1"/>
    <w:basedOn w:val="Absatz-Standardschriftart"/>
    <w:rsid w:val="002F71E0"/>
  </w:style>
  <w:style w:type="character" w:customStyle="1" w:styleId="apple-style-span">
    <w:name w:val="apple-style-span"/>
    <w:basedOn w:val="Absatz-Standardschriftart"/>
    <w:rsid w:val="00E17622"/>
  </w:style>
  <w:style w:type="paragraph" w:styleId="Listenabsatz">
    <w:name w:val="List Paragraph"/>
    <w:basedOn w:val="Standard"/>
    <w:uiPriority w:val="34"/>
    <w:qFormat/>
    <w:rsid w:val="00FC5C09"/>
    <w:pPr>
      <w:tabs>
        <w:tab w:val="left" w:pos="567"/>
        <w:tab w:val="left" w:pos="1134"/>
      </w:tabs>
      <w:spacing w:line="360" w:lineRule="auto"/>
      <w:ind w:left="720"/>
      <w:contextualSpacing/>
    </w:pPr>
    <w:rPr>
      <w:rFonts w:ascii="DIN-Light" w:eastAsia="Times New Roman" w:hAnsi="DIN-Light" w:cs="Times New Roman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character" w:styleId="Hyperlink">
    <w:name w:val="Hyperlink"/>
    <w:basedOn w:val="Absatz-Standardschriftart"/>
    <w:uiPriority w:val="99"/>
    <w:unhideWhenUsed/>
    <w:rsid w:val="006A5BB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1548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F65E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e-DE"/>
    </w:rPr>
  </w:style>
  <w:style w:type="character" w:customStyle="1" w:styleId="c1">
    <w:name w:val="c1"/>
    <w:basedOn w:val="Absatz-Standardschriftart"/>
    <w:rsid w:val="007F65E0"/>
  </w:style>
  <w:style w:type="character" w:styleId="Kommentarzeichen">
    <w:name w:val="annotation reference"/>
    <w:basedOn w:val="Absatz-Standardschriftart"/>
    <w:uiPriority w:val="99"/>
    <w:semiHidden/>
    <w:unhideWhenUsed/>
    <w:rsid w:val="002B25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5F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5FB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5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5FB"/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5F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5F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8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5A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5A7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C5A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5A78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E0E9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E0E9C"/>
  </w:style>
  <w:style w:type="character" w:styleId="Endnotenzeichen">
    <w:name w:val="endnote reference"/>
    <w:basedOn w:val="Absatz-Standardschriftart"/>
    <w:uiPriority w:val="99"/>
    <w:semiHidden/>
    <w:unhideWhenUsed/>
    <w:rsid w:val="003E0E9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0E9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0E9C"/>
  </w:style>
  <w:style w:type="character" w:styleId="Funotenzeichen">
    <w:name w:val="footnote reference"/>
    <w:basedOn w:val="Absatz-Standardschriftart"/>
    <w:uiPriority w:val="99"/>
    <w:unhideWhenUsed/>
    <w:rsid w:val="003E0E9C"/>
    <w:rPr>
      <w:vertAlign w:val="superscript"/>
    </w:rPr>
  </w:style>
  <w:style w:type="character" w:customStyle="1" w:styleId="apple-tab-span">
    <w:name w:val="apple-tab-span"/>
    <w:basedOn w:val="Absatz-Standardschriftart"/>
    <w:rsid w:val="00A00917"/>
  </w:style>
  <w:style w:type="character" w:customStyle="1" w:styleId="at1">
    <w:name w:val="a__t1"/>
    <w:basedOn w:val="Absatz-Standardschriftart"/>
    <w:rsid w:val="002F71E0"/>
  </w:style>
  <w:style w:type="character" w:customStyle="1" w:styleId="apple-style-span">
    <w:name w:val="apple-style-span"/>
    <w:basedOn w:val="Absatz-Standardschriftart"/>
    <w:rsid w:val="00E17622"/>
  </w:style>
  <w:style w:type="paragraph" w:styleId="Listenabsatz">
    <w:name w:val="List Paragraph"/>
    <w:basedOn w:val="Standard"/>
    <w:uiPriority w:val="34"/>
    <w:qFormat/>
    <w:rsid w:val="00FC5C09"/>
    <w:pPr>
      <w:tabs>
        <w:tab w:val="left" w:pos="567"/>
        <w:tab w:val="left" w:pos="1134"/>
      </w:tabs>
      <w:spacing w:line="360" w:lineRule="auto"/>
      <w:ind w:left="720"/>
      <w:contextualSpacing/>
    </w:pPr>
    <w:rPr>
      <w:rFonts w:ascii="DIN-Light" w:eastAsia="Times New Roman" w:hAnsi="DIN-Light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weltzeichen.at/produkt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weltzeichen.a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nst.leitner@gul.at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mweltzeichen.at/cms/home233/newsletter-aktuell/content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054EB8-A52A-429F-B6DB-E6DA36EB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Natalie Kienreich</cp:lastModifiedBy>
  <cp:revision>2</cp:revision>
  <cp:lastPrinted>2015-11-04T09:56:00Z</cp:lastPrinted>
  <dcterms:created xsi:type="dcterms:W3CDTF">2015-11-09T08:17:00Z</dcterms:created>
  <dcterms:modified xsi:type="dcterms:W3CDTF">2015-11-09T08:17:00Z</dcterms:modified>
</cp:coreProperties>
</file>